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46" w:rsidRPr="004E4EBE" w:rsidRDefault="001D0246" w:rsidP="001D0246">
      <w:pPr>
        <w:ind w:left="1089"/>
        <w:rPr>
          <w:lang w:val="en-GB"/>
        </w:rPr>
      </w:pPr>
    </w:p>
    <w:tbl>
      <w:tblPr>
        <w:tblW w:w="1044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1D0246" w:rsidRPr="004E4EBE" w:rsidTr="00647D2B">
        <w:trPr>
          <w:trHeight w:val="980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sz w:val="36"/>
                <w:szCs w:val="36"/>
                <w:lang w:val="en-GB"/>
              </w:rPr>
            </w:pPr>
            <w:r w:rsidRPr="004E4EBE">
              <w:rPr>
                <w:lang w:val="en-GB"/>
              </w:rPr>
              <w:drawing>
                <wp:inline distT="0" distB="0" distL="114300" distR="114300" wp14:anchorId="1C9B6936" wp14:editId="111FFD22">
                  <wp:extent cx="552450" cy="548640"/>
                  <wp:effectExtent l="0" t="0" r="0" b="0"/>
                  <wp:docPr id="4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 xml:space="preserve">                         UNIVERSITY OF </w:t>
            </w:r>
            <w:proofErr w:type="spellStart"/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NIŠ</w:t>
            </w:r>
            <w:proofErr w:type="spellEnd"/>
          </w:p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1D0246" w:rsidRPr="004E4EBE" w:rsidTr="00647D2B">
        <w:trPr>
          <w:trHeight w:val="740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246" w:rsidRPr="004E4EBE" w:rsidRDefault="001D0246" w:rsidP="00647D2B">
            <w:pPr>
              <w:spacing w:after="0" w:line="240" w:lineRule="auto"/>
              <w:rPr>
                <w:rFonts w:ascii="Candara" w:eastAsia="Candara" w:hAnsi="Candara" w:cs="Candara"/>
                <w:sz w:val="36"/>
                <w:szCs w:val="36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246" w:rsidRPr="004E4EBE" w:rsidRDefault="001D0246" w:rsidP="00647D2B">
            <w:pPr>
              <w:spacing w:after="0" w:line="240" w:lineRule="auto"/>
              <w:jc w:val="left"/>
              <w:rPr>
                <w:sz w:val="36"/>
                <w:szCs w:val="36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Faculty</w:t>
            </w:r>
            <w:r w:rsidRPr="004E4EBE">
              <w:rPr>
                <w:rFonts w:ascii="Candara" w:eastAsia="Candara" w:hAnsi="Candara" w:cs="Candara"/>
                <w:b/>
                <w:color w:val="548DD4"/>
                <w:sz w:val="36"/>
                <w:szCs w:val="36"/>
                <w:lang w:val="en-GB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0246" w:rsidRPr="004E4EBE" w:rsidRDefault="001D0246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Faculty of Philosophy</w:t>
            </w:r>
          </w:p>
        </w:tc>
      </w:tr>
      <w:tr w:rsidR="001D0246" w:rsidRPr="004E4EBE" w:rsidTr="00647D2B">
        <w:trPr>
          <w:trHeight w:val="520"/>
        </w:trPr>
        <w:tc>
          <w:tcPr>
            <w:tcW w:w="104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1D0246" w:rsidRPr="004E4EBE" w:rsidRDefault="001D0246" w:rsidP="00647D2B">
            <w:pPr>
              <w:spacing w:line="240" w:lineRule="auto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GENERAL INFORMATION</w:t>
            </w:r>
          </w:p>
        </w:tc>
      </w:tr>
      <w:tr w:rsidR="001D0246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color w:val="548DD4"/>
                <w:sz w:val="24"/>
                <w:szCs w:val="24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French Language and Literature</w:t>
            </w:r>
          </w:p>
        </w:tc>
      </w:tr>
      <w:tr w:rsidR="001D0246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Study 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Module  (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/</w:t>
            </w:r>
          </w:p>
        </w:tc>
      </w:tr>
      <w:tr w:rsidR="001D0246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Translation</w:t>
            </w:r>
            <w:r>
              <w:rPr>
                <w:rFonts w:ascii="Candara" w:eastAsia="Candara" w:hAnsi="Candara" w:cs="Candara"/>
                <w:lang w:val="en-GB"/>
              </w:rPr>
              <w:t xml:space="preserve"> of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literary text</w:t>
            </w:r>
          </w:p>
        </w:tc>
      </w:tr>
      <w:tr w:rsidR="001D0246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 xml:space="preserve">x 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Bachelor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Master’s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Doctoral</w:t>
            </w:r>
          </w:p>
        </w:tc>
      </w:tr>
      <w:tr w:rsidR="001D0246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Obligatory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Elective</w:t>
            </w:r>
          </w:p>
        </w:tc>
      </w:tr>
      <w:tr w:rsidR="001D0246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1D0246" w:rsidRPr="004E4EBE" w:rsidRDefault="001D0246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1D0246" w:rsidRPr="004E4EBE" w:rsidRDefault="001D0246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Autumn  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 xml:space="preserve">x </w:t>
            </w:r>
            <w:r w:rsidRPr="004E4EBE">
              <w:rPr>
                <w:rFonts w:ascii="Candara" w:eastAsia="Candara" w:hAnsi="Candara" w:cs="Candara"/>
                <w:lang w:val="en-GB"/>
              </w:rPr>
              <w:t>Spring</w:t>
            </w:r>
          </w:p>
        </w:tc>
      </w:tr>
      <w:tr w:rsidR="001D0246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IV</w:t>
            </w:r>
          </w:p>
        </w:tc>
      </w:tr>
      <w:tr w:rsidR="001D0246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4</w:t>
            </w:r>
          </w:p>
        </w:tc>
      </w:tr>
      <w:tr w:rsidR="001D0246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Ivan Jovanović</w:t>
            </w:r>
          </w:p>
        </w:tc>
      </w:tr>
      <w:tr w:rsidR="001D0246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1D0246" w:rsidRPr="004E4EBE" w:rsidRDefault="001D0246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 xml:space="preserve">x 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Lectures  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Group tutorials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Individual tutorials</w:t>
            </w:r>
          </w:p>
          <w:p w:rsidR="001D0246" w:rsidRPr="004E4EBE" w:rsidRDefault="001D0246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Laboratory work     </w:t>
            </w:r>
            <w:proofErr w:type="gramStart"/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Project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 work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Seminar</w:t>
            </w:r>
          </w:p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Distance learning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Blended learning      </w:t>
            </w:r>
            <w:proofErr w:type="gramStart"/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Other</w:t>
            </w:r>
            <w:proofErr w:type="gramEnd"/>
          </w:p>
        </w:tc>
      </w:tr>
      <w:tr w:rsidR="001D0246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0246" w:rsidRPr="004E4EBE" w:rsidRDefault="001D0246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PURPOSE AND OVERVIEW (max. 5 sentences)</w:t>
            </w:r>
          </w:p>
        </w:tc>
      </w:tr>
      <w:tr w:rsidR="001D0246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1D0246" w:rsidRPr="004E4EBE" w:rsidRDefault="001D0246" w:rsidP="00647D2B">
            <w:pPr>
              <w:spacing w:line="240" w:lineRule="auto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Getting to know the specific characteristics, requirements and techniques in translating literary texts. Developing skills for literary translation.</w:t>
            </w:r>
          </w:p>
        </w:tc>
      </w:tr>
      <w:tr w:rsidR="001D0246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SYLLABUS (brief outline and summary of topics, max. 10 sentences)</w:t>
            </w:r>
          </w:p>
        </w:tc>
      </w:tr>
      <w:tr w:rsidR="001D0246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1D0246" w:rsidRPr="004E4EBE" w:rsidRDefault="001D0246" w:rsidP="001D0246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bookmarkStart w:id="0" w:name="_GoBack"/>
            <w:r w:rsidRPr="004E4EBE">
              <w:rPr>
                <w:rFonts w:ascii="Candara" w:eastAsia="Candara" w:hAnsi="Candara" w:cs="Candara"/>
                <w:lang w:val="en-GB"/>
              </w:rPr>
              <w:t>The notion of a literary text. Complementarity of literary and linguistic concepts. The principle of functional equivalence.</w:t>
            </w:r>
          </w:p>
          <w:p w:rsidR="001D0246" w:rsidRPr="004E4EBE" w:rsidRDefault="001D0246" w:rsidP="001D0246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Types of literary translation. Translation of prose text. Translation of epic poetry. Translation of lyrical poetry. Translation of plays. Forms of literary translation.</w:t>
            </w:r>
          </w:p>
          <w:bookmarkEnd w:id="0"/>
          <w:p w:rsidR="001D0246" w:rsidRPr="004E4EBE" w:rsidRDefault="001D0246" w:rsidP="00647D2B">
            <w:pPr>
              <w:spacing w:after="0"/>
              <w:ind w:left="720" w:hanging="720"/>
              <w:rPr>
                <w:rFonts w:ascii="Candara" w:eastAsia="Candara" w:hAnsi="Candara" w:cs="Candara"/>
                <w:lang w:val="en-GB"/>
              </w:rPr>
            </w:pPr>
          </w:p>
          <w:p w:rsidR="001D0246" w:rsidRPr="004E4EBE" w:rsidRDefault="001D0246" w:rsidP="001D0246">
            <w:pPr>
              <w:spacing w:after="0" w:line="240" w:lineRule="auto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 xml:space="preserve">Bibliographic references: </w:t>
            </w:r>
          </w:p>
          <w:p w:rsidR="001D0246" w:rsidRPr="004E4EBE" w:rsidRDefault="001D0246" w:rsidP="001D0246">
            <w:pPr>
              <w:spacing w:after="0" w:line="240" w:lineRule="auto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1.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Крстић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Н. (2001).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La contrastive et la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traduction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- le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français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et le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serbe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: les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ressemblances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et les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différences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Београд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: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Ведес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.</w:t>
            </w:r>
          </w:p>
          <w:p w:rsidR="001D0246" w:rsidRPr="004E4EBE" w:rsidRDefault="001D0246" w:rsidP="001D0246">
            <w:pPr>
              <w:spacing w:after="0" w:line="240" w:lineRule="auto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2.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Ladmiral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J.-R. (1979).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Traduire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: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théorèmes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pour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traduction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. Paris: Gallimard. </w:t>
            </w:r>
          </w:p>
          <w:p w:rsidR="001D0246" w:rsidRPr="004E4EBE" w:rsidRDefault="001D0246" w:rsidP="001D0246">
            <w:pPr>
              <w:spacing w:after="0" w:line="240" w:lineRule="auto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3.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Маројевић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Р. (1988).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Лингвистика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и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поетика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превођења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Београд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: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Научна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књига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.</w:t>
            </w:r>
          </w:p>
          <w:p w:rsidR="001D0246" w:rsidRPr="004E4EBE" w:rsidRDefault="001D0246" w:rsidP="001D0246">
            <w:pPr>
              <w:spacing w:after="0" w:line="240" w:lineRule="auto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4.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Сибиновић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М. (2009).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Нови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живот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оригинала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Београд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: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Просвета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Алтера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.</w:t>
            </w:r>
          </w:p>
          <w:p w:rsidR="001D0246" w:rsidRPr="004E4EBE" w:rsidRDefault="001D0246" w:rsidP="001D0246">
            <w:pPr>
              <w:spacing w:after="0" w:line="240" w:lineRule="auto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5.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Stojnić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, M. (1980).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O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prevođenju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književnog</w:t>
            </w:r>
            <w:proofErr w:type="spell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i/>
                <w:lang w:val="en-GB"/>
              </w:rPr>
              <w:t>teksta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. Sarajevo: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Igkro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„</w:t>
            </w:r>
            <w:proofErr w:type="spellStart"/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Svetlost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“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,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OOUR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Zavod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 xml:space="preserve"> za </w:t>
            </w:r>
            <w:proofErr w:type="spellStart"/>
            <w:r w:rsidRPr="004E4EBE">
              <w:rPr>
                <w:rFonts w:ascii="Candara" w:eastAsia="Candara" w:hAnsi="Candara" w:cs="Candara"/>
                <w:lang w:val="en-GB"/>
              </w:rPr>
              <w:t>udžbenike</w:t>
            </w:r>
            <w:proofErr w:type="spellEnd"/>
            <w:r w:rsidRPr="004E4EBE">
              <w:rPr>
                <w:rFonts w:ascii="Candara" w:eastAsia="Candara" w:hAnsi="Candara" w:cs="Candara"/>
                <w:lang w:val="en-GB"/>
              </w:rPr>
              <w:t>.</w:t>
            </w:r>
          </w:p>
        </w:tc>
      </w:tr>
      <w:tr w:rsidR="001D0246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lastRenderedPageBreak/>
              <w:t>LANGUAGE OF INSTRUCTION</w:t>
            </w:r>
          </w:p>
        </w:tc>
      </w:tr>
      <w:tr w:rsidR="001D0246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Serbian  (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complete course)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English (complete course)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French and Serbian (complete course)</w:t>
            </w:r>
          </w:p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Serbian with English mentoring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>Serbian with other mentoring ______________</w:t>
            </w:r>
          </w:p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1D0246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ASSESSMENT METHODS AND CRITERIA</w:t>
            </w:r>
          </w:p>
        </w:tc>
      </w:tr>
      <w:tr w:rsidR="001D0246" w:rsidRPr="004E4EBE" w:rsidTr="00647D2B">
        <w:trPr>
          <w:trHeight w:val="560"/>
        </w:trPr>
        <w:tc>
          <w:tcPr>
            <w:tcW w:w="2550" w:type="dxa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proofErr w:type="gramStart"/>
            <w:r w:rsidRPr="004E4EBE">
              <w:rPr>
                <w:rFonts w:ascii="Candara" w:eastAsia="Candara" w:hAnsi="Candara" w:cs="Candara"/>
                <w:b/>
                <w:lang w:val="en-GB"/>
              </w:rPr>
              <w:t>Pre exam</w:t>
            </w:r>
            <w:proofErr w:type="gramEnd"/>
            <w:r w:rsidRPr="004E4EBE">
              <w:rPr>
                <w:rFonts w:ascii="Candara" w:eastAsia="Candara" w:hAnsi="Candara" w:cs="Candara"/>
                <w:b/>
                <w:lang w:val="en-GB"/>
              </w:rPr>
              <w:t xml:space="preserve"> duties</w:t>
            </w:r>
          </w:p>
        </w:tc>
        <w:tc>
          <w:tcPr>
            <w:tcW w:w="1575" w:type="dxa"/>
            <w:gridSpan w:val="2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Final exam</w:t>
            </w:r>
          </w:p>
        </w:tc>
        <w:tc>
          <w:tcPr>
            <w:tcW w:w="3060" w:type="dxa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points</w:t>
            </w:r>
          </w:p>
        </w:tc>
      </w:tr>
      <w:tr w:rsidR="001D0246" w:rsidRPr="004E4EBE" w:rsidTr="00647D2B">
        <w:trPr>
          <w:trHeight w:val="560"/>
        </w:trPr>
        <w:tc>
          <w:tcPr>
            <w:tcW w:w="2550" w:type="dxa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50</w:t>
            </w:r>
          </w:p>
        </w:tc>
      </w:tr>
      <w:tr w:rsidR="001D0246" w:rsidRPr="004E4EBE" w:rsidTr="00647D2B">
        <w:trPr>
          <w:trHeight w:val="560"/>
        </w:trPr>
        <w:tc>
          <w:tcPr>
            <w:tcW w:w="2550" w:type="dxa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20</w:t>
            </w:r>
          </w:p>
        </w:tc>
      </w:tr>
      <w:tr w:rsidR="001D0246" w:rsidRPr="004E4EBE" w:rsidTr="00647D2B">
        <w:trPr>
          <w:trHeight w:val="560"/>
        </w:trPr>
        <w:tc>
          <w:tcPr>
            <w:tcW w:w="2550" w:type="dxa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  <w:tc>
          <w:tcPr>
            <w:tcW w:w="3255" w:type="dxa"/>
            <w:gridSpan w:val="3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100</w:t>
            </w:r>
          </w:p>
        </w:tc>
      </w:tr>
      <w:tr w:rsidR="001D0246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1D0246" w:rsidRPr="004E4EBE" w:rsidRDefault="001D0246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*Final examination mark is formed in accordance with the Institutional documents</w:t>
            </w:r>
          </w:p>
        </w:tc>
      </w:tr>
    </w:tbl>
    <w:p w:rsidR="001D0246" w:rsidRPr="004E4EBE" w:rsidRDefault="001D0246" w:rsidP="001D0246">
      <w:pPr>
        <w:ind w:left="1089"/>
        <w:rPr>
          <w:lang w:val="en-GB"/>
        </w:rPr>
      </w:pPr>
    </w:p>
    <w:p w:rsidR="009637C0" w:rsidRPr="001D0246" w:rsidRDefault="009637C0" w:rsidP="001D0246"/>
    <w:sectPr w:rsidR="009637C0" w:rsidRPr="001D024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EC"/>
    <w:rsid w:val="00123FF0"/>
    <w:rsid w:val="001D0246"/>
    <w:rsid w:val="004A189B"/>
    <w:rsid w:val="00656B5C"/>
    <w:rsid w:val="009637C0"/>
    <w:rsid w:val="009969C1"/>
    <w:rsid w:val="00B731D1"/>
    <w:rsid w:val="00C338EC"/>
    <w:rsid w:val="00CA286B"/>
    <w:rsid w:val="00E97D93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B72B"/>
  <w15:chartTrackingRefBased/>
  <w15:docId w15:val="{E75E7167-0E64-4BC6-BADB-50096BCC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731D1"/>
    <w:pPr>
      <w:widowControl w:val="0"/>
      <w:spacing w:after="120" w:line="264" w:lineRule="auto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</cp:revision>
  <dcterms:created xsi:type="dcterms:W3CDTF">2018-05-16T11:37:00Z</dcterms:created>
  <dcterms:modified xsi:type="dcterms:W3CDTF">2018-05-16T11:37:00Z</dcterms:modified>
</cp:coreProperties>
</file>