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234"/>
        <w:gridCol w:w="567"/>
        <w:gridCol w:w="585"/>
        <w:gridCol w:w="407"/>
        <w:gridCol w:w="444"/>
        <w:gridCol w:w="2533"/>
        <w:gridCol w:w="2670"/>
      </w:tblGrid>
      <w:tr w:rsidR="00083A08" w:rsidRPr="00C1221E">
        <w:trPr>
          <w:trHeight w:val="1105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A08" w:rsidRPr="00C1221E" w:rsidRDefault="00C1221E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1221E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21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         UNIVERSITY OF </w:t>
            </w:r>
            <w:proofErr w:type="spellStart"/>
            <w:r w:rsidRPr="00C1221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083A08" w:rsidRPr="00C1221E" w:rsidRDefault="00083A08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083A08" w:rsidRPr="00C1221E">
        <w:trPr>
          <w:trHeight w:val="487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83A08" w:rsidRPr="00C1221E" w:rsidRDefault="00C1221E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1221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C1221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83A08" w:rsidRPr="00C1221E" w:rsidRDefault="00C1221E">
            <w:pPr>
              <w:tabs>
                <w:tab w:val="left" w:pos="2040"/>
              </w:tabs>
              <w:jc w:val="center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C1221E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083A08" w:rsidRPr="00C1221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83A08" w:rsidRPr="00C1221E" w:rsidRDefault="00C1221E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083A08" w:rsidRPr="00C1221E">
        <w:trPr>
          <w:trHeight w:val="297"/>
        </w:trPr>
        <w:tc>
          <w:tcPr>
            <w:tcW w:w="4386" w:type="dxa"/>
            <w:gridSpan w:val="3"/>
            <w:shd w:val="clear" w:color="auto" w:fill="auto"/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FF0000"/>
                <w:lang w:val="en-US"/>
              </w:rPr>
            </w:pPr>
            <w:r w:rsidRPr="00C1221E">
              <w:rPr>
                <w:rFonts w:ascii="Candara" w:hAnsi="Candara"/>
                <w:b/>
                <w:color w:val="000000" w:themeColor="text1"/>
                <w:sz w:val="24"/>
                <w:szCs w:val="24"/>
                <w:lang w:val="en-US"/>
              </w:rPr>
              <w:t>Sociolo</w:t>
            </w:r>
            <w:r w:rsidRPr="00C1221E">
              <w:rPr>
                <w:rFonts w:ascii="Candara" w:hAnsi="Candara"/>
                <w:b/>
                <w:color w:val="000000" w:themeColor="text1"/>
                <w:sz w:val="24"/>
                <w:szCs w:val="24"/>
                <w:lang w:val="en-US"/>
              </w:rPr>
              <w:t>gy</w:t>
            </w:r>
          </w:p>
        </w:tc>
      </w:tr>
      <w:tr w:rsidR="00083A08" w:rsidRPr="00C1221E">
        <w:trPr>
          <w:trHeight w:val="273"/>
        </w:trPr>
        <w:tc>
          <w:tcPr>
            <w:tcW w:w="4386" w:type="dxa"/>
            <w:gridSpan w:val="3"/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C1221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C1221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4"/>
            <w:vAlign w:val="center"/>
          </w:tcPr>
          <w:p w:rsidR="00083A08" w:rsidRPr="00C1221E" w:rsidRDefault="00083A0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083A08" w:rsidRPr="00C1221E">
        <w:trPr>
          <w:trHeight w:val="277"/>
        </w:trPr>
        <w:tc>
          <w:tcPr>
            <w:tcW w:w="4386" w:type="dxa"/>
            <w:gridSpan w:val="3"/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4"/>
            <w:vAlign w:val="center"/>
          </w:tcPr>
          <w:p w:rsidR="00083A08" w:rsidRPr="00C1221E" w:rsidRDefault="00C1221E">
            <w:pPr>
              <w:spacing w:line="276" w:lineRule="auto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 xml:space="preserve">Demographics of partnerships and birth </w:t>
            </w:r>
          </w:p>
        </w:tc>
      </w:tr>
      <w:tr w:rsidR="00083A08" w:rsidRPr="00C1221E">
        <w:trPr>
          <w:trHeight w:val="271"/>
        </w:trPr>
        <w:tc>
          <w:tcPr>
            <w:tcW w:w="4386" w:type="dxa"/>
            <w:gridSpan w:val="3"/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4"/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56"/>
              </w:sdtPr>
              <w:sdtEndPr/>
              <w:sdtContent>
                <w:r w:rsidRPr="00C1221E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9592657"/>
              </w:sdtPr>
              <w:sdtEndPr/>
              <w:sdtContent>
                <w:r w:rsidRPr="00C12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9592658"/>
              </w:sdtPr>
              <w:sdtEndPr/>
              <w:sdtContent>
                <w:r w:rsidRPr="00C12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083A08" w:rsidRPr="00C1221E">
        <w:trPr>
          <w:trHeight w:val="275"/>
        </w:trPr>
        <w:tc>
          <w:tcPr>
            <w:tcW w:w="4386" w:type="dxa"/>
            <w:gridSpan w:val="3"/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4"/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659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9592660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9592661"/>
                      </w:sdtPr>
                      <w:sdtEndPr/>
                      <w:sdtContent>
                        <w:r w:rsidRPr="00C1221E">
                          <w:rPr>
                            <w:rFonts w:ascii="MS Gothic" w:eastAsia="MS Gothic" w:hAnsi="MS Gothic" w:cs="Arial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C1221E">
              <w:rPr>
                <w:rFonts w:ascii="Candara" w:hAnsi="Candara"/>
                <w:lang w:val="en-US"/>
              </w:rPr>
              <w:t>Obligatory</w:t>
            </w:r>
            <w:sdt>
              <w:sdtPr>
                <w:rPr>
                  <w:rFonts w:ascii="Candara" w:hAnsi="Candara"/>
                  <w:lang w:val="en-US"/>
                </w:rPr>
                <w:id w:val="9592662"/>
              </w:sdtPr>
              <w:sdtEndPr/>
              <w:sdtContent>
                <w:r w:rsidRPr="00C1221E">
                  <w:rPr>
                    <w:rFonts w:ascii="Candara" w:hAnsi="Candara"/>
                    <w:lang w:val="en-US"/>
                  </w:rPr>
                  <w:t xml:space="preserve">             </w:t>
                </w:r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1642019"/>
                  </w:sdtPr>
                  <w:sdtEndPr/>
                  <w:sdtContent>
                    <w:r w:rsidRPr="00C1221E">
                      <w:rPr>
                        <w:rFonts w:ascii="MS Gothic" w:eastAsia="MS Gothic" w:hAnsi="MS Gothic"/>
                        <w:color w:val="1F497D" w:themeColor="text2"/>
                        <w:shd w:val="clear" w:color="auto" w:fill="8DB3E2" w:themeFill="text2" w:themeFillTint="66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C1221E">
              <w:rPr>
                <w:rFonts w:ascii="Candara" w:hAnsi="Candara"/>
                <w:lang w:val="en-US"/>
              </w:rPr>
              <w:t>Elective</w:t>
            </w:r>
          </w:p>
        </w:tc>
      </w:tr>
      <w:tr w:rsidR="00083A08" w:rsidRPr="00C1221E">
        <w:trPr>
          <w:trHeight w:val="265"/>
        </w:trPr>
        <w:tc>
          <w:tcPr>
            <w:tcW w:w="4386" w:type="dxa"/>
            <w:gridSpan w:val="3"/>
            <w:vAlign w:val="center"/>
          </w:tcPr>
          <w:p w:rsidR="00083A08" w:rsidRPr="00C1221E" w:rsidRDefault="00C1221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4"/>
            <w:vAlign w:val="center"/>
          </w:tcPr>
          <w:p w:rsidR="00083A08" w:rsidRPr="00C1221E" w:rsidRDefault="00C1221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9592664"/>
                <w:showingPlcHdr/>
              </w:sdtPr>
              <w:sdtEndPr/>
              <w:sdtContent/>
            </w:sdt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65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59268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shd w:val="clear" w:color="auto" w:fill="8DB3E2" w:themeFill="text2" w:themeFillTint="66"/>
                          <w:lang w:val="en-US"/>
                        </w:rPr>
                        <w:id w:val="1642225"/>
                      </w:sdtPr>
                      <w:sdtEndPr/>
                      <w:sdtContent>
                        <w:r w:rsidRPr="00C1221E">
                          <w:rPr>
                            <w:rFonts w:ascii="MS Gothic" w:eastAsia="MS Gothic" w:hAnsi="MS Gothic"/>
                            <w:color w:val="1F497D" w:themeColor="text2"/>
                            <w:shd w:val="clear" w:color="auto" w:fill="8DB3E2" w:themeFill="text2" w:themeFillTint="66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C1221E">
              <w:rPr>
                <w:rFonts w:ascii="Candara" w:hAnsi="Candara" w:cs="Arial"/>
                <w:lang w:val="en-US"/>
              </w:rPr>
              <w:t xml:space="preserve">Autumn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9592666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9592667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9592668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  <w:shd w:val="clear" w:color="auto" w:fill="8DB3E2" w:themeFill="text2" w:themeFillTint="66"/>
                              <w:lang w:val="en-US"/>
                            </w:rPr>
                            <w:id w:val="959266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1642238"/>
                              </w:sdtPr>
                              <w:sdtEndPr/>
                              <w:sdtContent>
                                <w:r w:rsidRPr="00C1221E">
                                  <w:rPr>
                                    <w:rFonts w:ascii="MS Gothic" w:eastAsia="MS Gothic" w:hAnsi="MS Gothic" w:cs="Aria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C1221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83A08" w:rsidRPr="00C1221E">
        <w:trPr>
          <w:trHeight w:val="283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color w:val="000000"/>
                <w:lang w:val="en-US"/>
              </w:rPr>
              <w:t>1</w:t>
            </w:r>
            <w:r w:rsidRPr="00C1221E">
              <w:rPr>
                <w:rFonts w:ascii="Candara" w:hAnsi="Candara"/>
                <w:color w:val="000000"/>
                <w:vertAlign w:val="superscript"/>
                <w:lang w:val="en-US"/>
              </w:rPr>
              <w:t>st</w:t>
            </w:r>
            <w:r w:rsidRPr="00C1221E">
              <w:rPr>
                <w:rFonts w:ascii="Candara" w:hAnsi="Candara"/>
                <w:color w:val="000000"/>
                <w:vertAlign w:val="superscript"/>
                <w:lang w:val="en-US"/>
              </w:rPr>
              <w:t xml:space="preserve"> </w:t>
            </w:r>
            <w:r w:rsidRPr="00C1221E">
              <w:rPr>
                <w:rFonts w:ascii="Candara" w:hAnsi="Candara"/>
                <w:sz w:val="22"/>
                <w:szCs w:val="22"/>
                <w:lang w:val="en-US"/>
              </w:rPr>
              <w:t xml:space="preserve">year </w:t>
            </w:r>
          </w:p>
        </w:tc>
      </w:tr>
      <w:tr w:rsidR="00083A08" w:rsidRPr="00C1221E">
        <w:trPr>
          <w:trHeight w:val="273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>5</w:t>
            </w:r>
            <w:r w:rsidRPr="00C1221E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083A08" w:rsidRPr="00C1221E">
        <w:trPr>
          <w:trHeight w:val="404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C1221E">
              <w:rPr>
                <w:rFonts w:ascii="Candara" w:hAnsi="Candara" w:cs="Arial"/>
                <w:lang w:val="en-US"/>
              </w:rPr>
              <w:t>Suzana</w:t>
            </w:r>
            <w:proofErr w:type="spellEnd"/>
            <w:r w:rsidRPr="00C1221E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C1221E">
              <w:rPr>
                <w:rFonts w:ascii="Candara" w:hAnsi="Candara" w:cs="Arial"/>
                <w:lang w:val="en-US"/>
              </w:rPr>
              <w:t>Marković</w:t>
            </w:r>
            <w:proofErr w:type="spellEnd"/>
            <w:r w:rsidRPr="00C1221E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C1221E">
              <w:rPr>
                <w:rFonts w:ascii="Candara" w:hAnsi="Candara" w:cs="Arial"/>
                <w:lang w:val="en-US"/>
              </w:rPr>
              <w:t>Krstić</w:t>
            </w:r>
            <w:proofErr w:type="spellEnd"/>
            <w:r w:rsidRPr="00C1221E">
              <w:rPr>
                <w:rFonts w:ascii="Candara" w:hAnsi="Candara" w:cs="Arial"/>
                <w:lang w:val="en-US"/>
              </w:rPr>
              <w:t>, Associate professor, PhD</w:t>
            </w:r>
          </w:p>
        </w:tc>
      </w:tr>
      <w:tr w:rsidR="00083A08" w:rsidRPr="00C1221E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70"/>
              </w:sdtPr>
              <w:sdtEndPr/>
              <w:sdtContent>
                <w:r w:rsidRPr="00C1221E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71"/>
              </w:sdtPr>
              <w:sdtEndPr/>
              <w:sdtContent>
                <w:r w:rsidRPr="00C1221E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72"/>
              </w:sdtPr>
              <w:sdtEndPr/>
              <w:sdtContent>
                <w:r w:rsidRPr="00C1221E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673"/>
              </w:sdtPr>
              <w:sdtEndPr/>
              <w:sdtContent>
                <w:r w:rsidRPr="00C12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9592674"/>
              </w:sdtPr>
              <w:sdtEndPr/>
              <w:sdtContent>
                <w:r w:rsidRPr="00C1221E">
                  <w:rPr>
                    <w:rFonts w:ascii="Candara" w:hAnsi="Candara"/>
                    <w:lang w:val="en-US"/>
                  </w:rPr>
                  <w:t xml:space="preserve"> </w:t>
                </w:r>
                <w:r w:rsidRPr="00C12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75"/>
              </w:sdtPr>
              <w:sdtEndPr/>
              <w:sdtContent>
                <w:r w:rsidRPr="00C1221E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  Seminar</w:t>
            </w:r>
          </w:p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676"/>
              </w:sdtPr>
              <w:sdtEndPr/>
              <w:sdtContent>
                <w:r w:rsidRPr="00C12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Distance learning </w:t>
            </w:r>
            <w:sdt>
              <w:sdtPr>
                <w:rPr>
                  <w:rFonts w:ascii="Candara" w:hAnsi="Candara"/>
                  <w:lang w:val="en-US"/>
                </w:rPr>
                <w:id w:val="9592677"/>
              </w:sdtPr>
              <w:sdtEndPr/>
              <w:sdtContent>
                <w:r w:rsidRPr="00C12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 Blended learning     </w:t>
            </w:r>
            <w:sdt>
              <w:sdtPr>
                <w:rPr>
                  <w:rFonts w:ascii="Candara" w:hAnsi="Candara"/>
                  <w:lang w:val="en-US"/>
                </w:rPr>
                <w:id w:val="9592678"/>
              </w:sdtPr>
              <w:sdtEndPr/>
              <w:sdtContent>
                <w:r w:rsidRPr="00C12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083A08" w:rsidRPr="00C1221E">
        <w:trPr>
          <w:trHeight w:val="209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83A08" w:rsidRPr="00C1221E" w:rsidRDefault="00C1221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083A08" w:rsidRPr="00C1221E">
        <w:trPr>
          <w:trHeight w:val="274"/>
        </w:trPr>
        <w:tc>
          <w:tcPr>
            <w:tcW w:w="10440" w:type="dxa"/>
            <w:gridSpan w:val="7"/>
            <w:vAlign w:val="center"/>
          </w:tcPr>
          <w:p w:rsidR="00083A08" w:rsidRPr="00C1221E" w:rsidRDefault="00C1221E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>The purpose of the course is for students to acquire knowledge of basic demographic indicators</w:t>
            </w:r>
            <w:r w:rsidRPr="00C1221E">
              <w:rPr>
                <w:rFonts w:ascii="Candara" w:hAnsi="Candara"/>
                <w:lang w:val="en-US"/>
              </w:rPr>
              <w:t xml:space="preserve"> of nuptiality, the marriage structure of the population, as well as the socio-demographic aspects of changes in marriage, i.e. partnership, as well as the birth rate. Connecting the demographic indicators of marriage and partnership with declining birth a</w:t>
            </w:r>
            <w:r w:rsidRPr="00C1221E">
              <w:rPr>
                <w:rFonts w:ascii="Candara" w:hAnsi="Candara"/>
                <w:lang w:val="en-US"/>
              </w:rPr>
              <w:t>nd fertility rates and an understanding of the trend of decades of demographic development of the countries of the European cultural circle and countries in post-socialist transformation. Students will be able to: name and explain the factors of changes in</w:t>
            </w:r>
            <w:r w:rsidRPr="00C1221E">
              <w:rPr>
                <w:rFonts w:ascii="Candara" w:hAnsi="Candara"/>
                <w:lang w:val="en-US"/>
              </w:rPr>
              <w:t xml:space="preserve"> the marriage structure of the population and partnership status (marriage, cohabitation, LAT relationships); describe the complex socioeconomic and cultural basis of the decrease in the frequency of the marriage ceremony, and the aging of fertility, delay</w:t>
            </w:r>
            <w:r w:rsidRPr="00C1221E">
              <w:rPr>
                <w:rFonts w:ascii="Candara" w:hAnsi="Candara"/>
                <w:lang w:val="en-US"/>
              </w:rPr>
              <w:t xml:space="preserve"> of childbearing, opting not to have children; recognize changes within marriage in contemporary society, as well as the consequences of these changes on the macro level.</w:t>
            </w:r>
          </w:p>
        </w:tc>
      </w:tr>
      <w:tr w:rsidR="00083A08" w:rsidRPr="00C1221E">
        <w:trPr>
          <w:trHeight w:val="26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083A08" w:rsidRPr="00C1221E">
        <w:trPr>
          <w:trHeight w:val="1987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83A08" w:rsidRPr="00C1221E" w:rsidRDefault="00C1221E" w:rsidP="00C1221E">
            <w:pPr>
              <w:rPr>
                <w:rFonts w:ascii="Candara" w:hAnsi="Candara"/>
                <w:vanish/>
                <w:lang w:val="en-US"/>
              </w:rPr>
            </w:pPr>
            <w:r w:rsidRPr="00C1221E">
              <w:rPr>
                <w:rFonts w:ascii="Candara" w:hAnsi="Candara"/>
                <w:sz w:val="21"/>
                <w:szCs w:val="21"/>
                <w:lang w:val="en-US"/>
              </w:rPr>
              <w:t xml:space="preserve">The subject of </w:t>
            </w:r>
            <w:r w:rsidRPr="00C1221E">
              <w:rPr>
                <w:rFonts w:ascii="Candara" w:hAnsi="Candara"/>
                <w:sz w:val="21"/>
                <w:szCs w:val="21"/>
                <w:lang w:val="en-US"/>
              </w:rPr>
              <w:t>the demographics of partnership and birth; The sources of data on the population; Nuptiality and partnership; indicators of marriage and divorce; age at marriage and divorce; homogeneity and heterogeneity of marriages and divorces according to the characte</w:t>
            </w:r>
            <w:r w:rsidRPr="00C1221E">
              <w:rPr>
                <w:rFonts w:ascii="Candara" w:hAnsi="Candara"/>
                <w:sz w:val="21"/>
                <w:szCs w:val="21"/>
                <w:lang w:val="en-US"/>
              </w:rPr>
              <w:t>ristics of the spouses; The marriage structure of the population of Serbia; The birth rate/fertility of the population; Indicators of birth (birth rate and fertility); Linking the variables of partnership and birth; The transition of partnership in develop</w:t>
            </w:r>
            <w:r w:rsidRPr="00C1221E">
              <w:rPr>
                <w:rFonts w:ascii="Candara" w:hAnsi="Candara"/>
                <w:sz w:val="21"/>
                <w:szCs w:val="21"/>
                <w:lang w:val="en-US"/>
              </w:rPr>
              <w:t>ed countries of the West; Blocked transition of partnership in Serbia; (In)sufficient birth rates in developed countries of the West and (in)sufficient birth rates in Serbia; The problem of the determinants of transformation partnerships and insufficient b</w:t>
            </w:r>
            <w:r w:rsidRPr="00C1221E">
              <w:rPr>
                <w:rFonts w:ascii="Candara" w:hAnsi="Candara"/>
                <w:sz w:val="21"/>
                <w:szCs w:val="21"/>
                <w:lang w:val="en-US"/>
              </w:rPr>
              <w:t>irth.</w:t>
            </w:r>
            <w:bookmarkStart w:id="0" w:name="_GoBack"/>
            <w:bookmarkEnd w:id="0"/>
          </w:p>
        </w:tc>
      </w:tr>
      <w:tr w:rsidR="00083A08" w:rsidRPr="00C1221E">
        <w:trPr>
          <w:trHeight w:val="157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083A08" w:rsidRPr="00C1221E">
        <w:trPr>
          <w:trHeight w:val="274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79"/>
              </w:sdtPr>
              <w:sdtEndPr/>
              <w:sdtContent>
                <w:r w:rsidRPr="00C1221E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Pr="00C1221E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C1221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9592680"/>
              </w:sdtPr>
              <w:sdtEndPr/>
              <w:sdtContent>
                <w:r w:rsidRPr="00C12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9592681"/>
              </w:sdtPr>
              <w:sdtEndPr/>
              <w:sdtContent>
                <w:r w:rsidRPr="00C12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083A08" w:rsidRPr="00C1221E" w:rsidRDefault="00083A0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val="en-US"/>
              </w:rPr>
            </w:pPr>
          </w:p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682"/>
              </w:sdtPr>
              <w:sdtEndPr/>
              <w:sdtContent>
                <w:r w:rsidRPr="00C12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9592683"/>
              </w:sdtPr>
              <w:sdtEndPr/>
              <w:sdtContent>
                <w:r w:rsidRPr="00C12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221E">
              <w:rPr>
                <w:rFonts w:ascii="Candara" w:hAnsi="Candara"/>
                <w:lang w:val="en-US"/>
              </w:rPr>
              <w:t xml:space="preserve">Serbian with other mentoring </w:t>
            </w:r>
            <w:r w:rsidRPr="00C1221E">
              <w:rPr>
                <w:rFonts w:ascii="Candara" w:hAnsi="Candara"/>
                <w:lang w:val="en-US"/>
              </w:rPr>
              <w:t>______________</w:t>
            </w:r>
          </w:p>
          <w:p w:rsidR="00083A08" w:rsidRPr="00C1221E" w:rsidRDefault="00083A0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10"/>
                <w:szCs w:val="10"/>
                <w:lang w:val="en-US"/>
              </w:rPr>
            </w:pPr>
          </w:p>
        </w:tc>
      </w:tr>
      <w:tr w:rsidR="00083A08" w:rsidRPr="00C1221E">
        <w:trPr>
          <w:trHeight w:val="274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083A08" w:rsidRPr="00C1221E">
        <w:trPr>
          <w:trHeight w:val="302"/>
        </w:trPr>
        <w:tc>
          <w:tcPr>
            <w:tcW w:w="3234" w:type="dxa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C1221E">
              <w:rPr>
                <w:rFonts w:ascii="Candara" w:hAnsi="Candara"/>
                <w:b/>
                <w:lang w:val="en-US"/>
              </w:rPr>
              <w:lastRenderedPageBreak/>
              <w:t>Pre exam</w:t>
            </w:r>
            <w:proofErr w:type="gramEnd"/>
            <w:r w:rsidRPr="00C1221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083A08" w:rsidRPr="00C1221E">
        <w:trPr>
          <w:trHeight w:val="98"/>
        </w:trPr>
        <w:tc>
          <w:tcPr>
            <w:tcW w:w="3234" w:type="dxa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3</w:t>
            </w:r>
            <w:r w:rsidRPr="00C1221E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083A08" w:rsidRPr="00C1221E">
        <w:trPr>
          <w:trHeight w:val="562"/>
        </w:trPr>
        <w:tc>
          <w:tcPr>
            <w:tcW w:w="3234" w:type="dxa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Practical teaching</w:t>
            </w:r>
          </w:p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C1221E">
              <w:rPr>
                <w:rFonts w:ascii="Candara" w:hAnsi="Candara"/>
                <w:lang w:val="en-US"/>
              </w:rPr>
              <w:t>(seminar</w:t>
            </w:r>
            <w:r w:rsidRPr="00C1221E">
              <w:rPr>
                <w:rFonts w:ascii="Candara" w:hAnsi="Candara"/>
                <w:lang w:val="en-US"/>
              </w:rPr>
              <w:t xml:space="preserve"> papers, presentations</w:t>
            </w:r>
            <w:r w:rsidRPr="00C1221E">
              <w:rPr>
                <w:rFonts w:ascii="Candara" w:hAnsi="Candara"/>
                <w:lang w:val="en-US"/>
              </w:rPr>
              <w:t>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083A08" w:rsidRPr="00C1221E">
        <w:trPr>
          <w:trHeight w:val="263"/>
        </w:trPr>
        <w:tc>
          <w:tcPr>
            <w:tcW w:w="3234" w:type="dxa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083A08" w:rsidRPr="00C1221E">
        <w:trPr>
          <w:trHeight w:val="279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83A08" w:rsidRPr="00C1221E" w:rsidRDefault="00C122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221E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083A08" w:rsidRPr="00C1221E" w:rsidRDefault="00083A08">
      <w:pPr>
        <w:rPr>
          <w:lang w:val="en-US"/>
        </w:rPr>
      </w:pPr>
    </w:p>
    <w:sectPr w:rsidR="00083A08" w:rsidRPr="00C1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442"/>
    <w:rsid w:val="00083A08"/>
    <w:rsid w:val="000C3998"/>
    <w:rsid w:val="004B2D1D"/>
    <w:rsid w:val="004C61C5"/>
    <w:rsid w:val="00503B41"/>
    <w:rsid w:val="00576C60"/>
    <w:rsid w:val="005F38C6"/>
    <w:rsid w:val="00664442"/>
    <w:rsid w:val="007C5862"/>
    <w:rsid w:val="009661C0"/>
    <w:rsid w:val="00A6645B"/>
    <w:rsid w:val="00AF5D2A"/>
    <w:rsid w:val="00B20F3D"/>
    <w:rsid w:val="00B5431D"/>
    <w:rsid w:val="00C1221E"/>
    <w:rsid w:val="00D34285"/>
    <w:rsid w:val="00DE4679"/>
    <w:rsid w:val="00E5107D"/>
    <w:rsid w:val="00F65B14"/>
    <w:rsid w:val="00FA4FDC"/>
    <w:rsid w:val="00FA5DC5"/>
    <w:rsid w:val="10D41A7D"/>
    <w:rsid w:val="673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185B"/>
  <w15:docId w15:val="{81376A92-EEFB-4F77-8817-FC1D9B45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ST</cp:lastModifiedBy>
  <cp:revision>3</cp:revision>
  <dcterms:created xsi:type="dcterms:W3CDTF">2017-04-01T20:13:00Z</dcterms:created>
  <dcterms:modified xsi:type="dcterms:W3CDTF">2018-06-08T10:52:00Z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