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715BF" w:rsidRPr="00B54668" w:rsidTr="00F53347">
        <w:trPr>
          <w:trHeight w:val="67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15BF" w:rsidRPr="008F6A4A" w:rsidRDefault="001715BF" w:rsidP="00F53347">
            <w:pPr>
              <w:spacing w:after="0" w:line="240" w:lineRule="auto"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8FD0B8E" wp14:editId="1EB150D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492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6A4A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1715BF" w:rsidRPr="00B54668" w:rsidTr="00F53347">
        <w:trPr>
          <w:trHeight w:val="49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15BF" w:rsidRPr="008F6A4A" w:rsidRDefault="001715BF" w:rsidP="00F5334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15BF" w:rsidRPr="008F6A4A" w:rsidRDefault="001715BF" w:rsidP="00F5334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8F6A4A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8F6A4A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715BF" w:rsidRPr="008F6A4A" w:rsidRDefault="001715BF" w:rsidP="00F53347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Pedagogical F</w:t>
            </w:r>
            <w:r w:rsidRPr="008F6A4A">
              <w:rPr>
                <w:rFonts w:ascii="Candara" w:hAnsi="Candara"/>
              </w:rPr>
              <w:t xml:space="preserve">aculty in </w:t>
            </w:r>
            <w:proofErr w:type="spellStart"/>
            <w:r w:rsidRPr="008F6A4A">
              <w:rPr>
                <w:rFonts w:ascii="Candara" w:hAnsi="Candara"/>
              </w:rPr>
              <w:t>Vranje</w:t>
            </w:r>
            <w:proofErr w:type="spellEnd"/>
          </w:p>
        </w:tc>
      </w:tr>
      <w:tr w:rsidR="001715BF" w:rsidRPr="00B54668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GENERAL INFORMATION</w:t>
            </w:r>
          </w:p>
        </w:tc>
      </w:tr>
      <w:tr w:rsidR="000D3314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D3314" w:rsidRPr="008F6A4A" w:rsidRDefault="000D331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8F6A4A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0D3314" w:rsidRDefault="000D3314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0D3314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0D3314" w:rsidRPr="008F6A4A" w:rsidRDefault="000D3314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0D3314" w:rsidRDefault="000D3314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2D6C24" w:rsidRDefault="001715BF" w:rsidP="00F53347">
            <w:pPr>
              <w:spacing w:line="240" w:lineRule="auto"/>
              <w:contextualSpacing/>
              <w:rPr>
                <w:rFonts w:ascii="Candara" w:hAnsi="Candara"/>
              </w:rPr>
            </w:pPr>
            <w:r w:rsidRPr="002D6C24">
              <w:rPr>
                <w:rFonts w:ascii="Candara" w:hAnsi="Candara"/>
              </w:rPr>
              <w:t>Doctoral Dissertation Preparation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Bachelor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Master’s          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Doctoral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Obligatory        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Elective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/>
              </w:rPr>
              <w:t xml:space="preserve">Semester </w:t>
            </w:r>
            <w:r w:rsidRPr="008F6A4A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8F6A4A" w:rsidRDefault="001715BF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F6A4A">
              <w:rPr>
                <w:rFonts w:ascii="Candara" w:hAnsi="Candara" w:cs="Arial"/>
                <w:lang w:val="en-US"/>
              </w:rPr>
              <w:t xml:space="preserve">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8F6A4A">
              <w:rPr>
                <w:rFonts w:ascii="Courier New" w:eastAsia="MS Gothic" w:hAnsi="Courier New" w:cs="Courier New"/>
                <w:lang w:val="en-US"/>
              </w:rPr>
              <w:t>☒</w:t>
            </w:r>
            <w:r w:rsidRPr="008F6A4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F6A4A">
              <w:rPr>
                <w:rFonts w:ascii="Candara" w:hAnsi="Candara"/>
                <w:b/>
                <w:lang w:val="en-US"/>
              </w:rPr>
              <w:t>III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60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2D6C24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D6C24">
              <w:rPr>
                <w:rFonts w:ascii="Candara" w:hAnsi="Candara"/>
              </w:rPr>
              <w:t>Suncica</w:t>
            </w:r>
            <w:proofErr w:type="spellEnd"/>
            <w:r w:rsidRPr="002D6C24">
              <w:rPr>
                <w:rFonts w:ascii="Candara" w:hAnsi="Candara"/>
              </w:rPr>
              <w:t xml:space="preserve"> M. (</w:t>
            </w:r>
            <w:proofErr w:type="spellStart"/>
            <w:r w:rsidRPr="002D6C24">
              <w:rPr>
                <w:rFonts w:ascii="Candara" w:hAnsi="Candara"/>
              </w:rPr>
              <w:t>Denic</w:t>
            </w:r>
            <w:proofErr w:type="spellEnd"/>
            <w:r w:rsidRPr="002D6C24">
              <w:rPr>
                <w:rFonts w:ascii="Candara" w:hAnsi="Candara"/>
              </w:rPr>
              <w:t xml:space="preserve">) </w:t>
            </w:r>
            <w:proofErr w:type="spellStart"/>
            <w:r w:rsidRPr="002D6C24">
              <w:rPr>
                <w:rFonts w:ascii="Candara" w:hAnsi="Candara"/>
              </w:rPr>
              <w:t>Mihailovic</w:t>
            </w:r>
            <w:proofErr w:type="spellEnd"/>
            <w:r w:rsidRPr="002D6C24">
              <w:rPr>
                <w:rFonts w:ascii="Candara" w:hAnsi="Candara"/>
              </w:rPr>
              <w:t>, Ph.D.</w:t>
            </w:r>
          </w:p>
          <w:p w:rsidR="001715BF" w:rsidRPr="002D6C24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D6C24">
              <w:rPr>
                <w:rFonts w:ascii="Candara" w:hAnsi="Candara"/>
              </w:rPr>
              <w:t>Blagica</w:t>
            </w:r>
            <w:proofErr w:type="spellEnd"/>
            <w:r w:rsidRPr="002D6C24">
              <w:rPr>
                <w:rFonts w:ascii="Candara" w:hAnsi="Candara"/>
              </w:rPr>
              <w:t xml:space="preserve"> </w:t>
            </w:r>
            <w:proofErr w:type="spellStart"/>
            <w:r w:rsidRPr="002D6C24">
              <w:rPr>
                <w:rFonts w:ascii="Candara" w:hAnsi="Candara"/>
              </w:rPr>
              <w:t>Zlatković</w:t>
            </w:r>
            <w:proofErr w:type="spellEnd"/>
            <w:r w:rsidRPr="002D6C24">
              <w:rPr>
                <w:rFonts w:ascii="Candara" w:hAnsi="Candara"/>
              </w:rPr>
              <w:t>. PH.D.</w:t>
            </w:r>
          </w:p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proofErr w:type="spellStart"/>
            <w:r w:rsidRPr="002D6C24">
              <w:rPr>
                <w:rFonts w:ascii="Candara" w:hAnsi="Candara"/>
              </w:rPr>
              <w:t>Danijela</w:t>
            </w:r>
            <w:proofErr w:type="spellEnd"/>
            <w:r w:rsidRPr="002D6C24">
              <w:rPr>
                <w:rFonts w:ascii="Candara" w:hAnsi="Candara"/>
              </w:rPr>
              <w:t xml:space="preserve"> </w:t>
            </w:r>
            <w:proofErr w:type="spellStart"/>
            <w:r w:rsidRPr="002D6C24">
              <w:rPr>
                <w:rFonts w:ascii="Candara" w:hAnsi="Candara"/>
              </w:rPr>
              <w:t>Zdravković</w:t>
            </w:r>
            <w:proofErr w:type="spellEnd"/>
            <w:r w:rsidRPr="002D6C24">
              <w:rPr>
                <w:rFonts w:ascii="Candara" w:hAnsi="Candara"/>
              </w:rPr>
              <w:t>, PH.D.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Lectures      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Group tutorials   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Individual tutorials</w:t>
            </w:r>
          </w:p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Laboratory work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 Project work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Seminar</w:t>
            </w:r>
          </w:p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F6A4A">
              <w:rPr>
                <w:rFonts w:ascii="Candara" w:hAnsi="Candara"/>
              </w:rPr>
              <w:t xml:space="preserve">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Distance learning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Blended learning      </w:t>
            </w: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  Other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715BF" w:rsidRPr="008F6A4A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715BF" w:rsidRPr="00F30EBF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1715BF" w:rsidRPr="00306438" w:rsidRDefault="001715BF" w:rsidP="00F53347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Cyrl-CS"/>
              </w:rPr>
            </w:pPr>
            <w:r w:rsidRPr="00306438">
              <w:rPr>
                <w:rFonts w:ascii="Candara" w:hAnsi="Candara"/>
                <w:bCs/>
                <w:lang w:val="en-US"/>
              </w:rPr>
              <w:t>The continuation of the student research work of the previous semester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application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basic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theoretical</w:t>
            </w:r>
            <w:r w:rsidRPr="00306438">
              <w:rPr>
                <w:rFonts w:ascii="Candara" w:hAnsi="Candara"/>
                <w:bCs/>
                <w:lang w:val="sr-Cyrl-CS"/>
              </w:rPr>
              <w:t>-</w:t>
            </w:r>
            <w:r w:rsidRPr="00306438">
              <w:rPr>
                <w:rFonts w:ascii="Candara" w:hAnsi="Candara"/>
                <w:bCs/>
                <w:lang w:val="en-US"/>
              </w:rPr>
              <w:t>methodological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scientific</w:t>
            </w:r>
            <w:r w:rsidRPr="00306438">
              <w:rPr>
                <w:rFonts w:ascii="Candara" w:hAnsi="Candara"/>
                <w:bCs/>
                <w:lang w:val="sr-Cyrl-CS"/>
              </w:rPr>
              <w:t>-</w:t>
            </w:r>
            <w:r w:rsidRPr="00306438">
              <w:rPr>
                <w:rFonts w:ascii="Candara" w:hAnsi="Candara"/>
                <w:bCs/>
                <w:lang w:val="en-US"/>
              </w:rPr>
              <w:t>professional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and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professional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applicative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knowledge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methods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to the solution of concrete problems within the chosen field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306438">
              <w:rPr>
                <w:rFonts w:ascii="Candara" w:hAnsi="Candara"/>
                <w:bCs/>
                <w:lang w:val="en-US"/>
              </w:rPr>
              <w:t>In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this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part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doctoral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dissertation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student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studies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problem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its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structure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complexity, and based on the conducted analysis, the student comes to conclusions about possible ways of its solving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306438">
              <w:rPr>
                <w:rFonts w:ascii="Candara" w:hAnsi="Candara"/>
                <w:bCs/>
                <w:lang w:val="en-US"/>
              </w:rPr>
              <w:t>By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applying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gained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knowledge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different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methodologies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teaching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practically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students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develop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ability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to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comprehend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place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role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methodologist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teaching in the selected field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and the need for cooperation with other scientific profiles and team work</w:t>
            </w:r>
            <w:r w:rsidRPr="00306438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715BF" w:rsidRPr="00F30EBF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30EBF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715BF" w:rsidRPr="00F30EBF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1715BF" w:rsidRPr="00306438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Cyrl-CS"/>
              </w:rPr>
            </w:pPr>
            <w:r w:rsidRPr="00306438">
              <w:rPr>
                <w:rFonts w:ascii="Candara" w:hAnsi="Candara"/>
                <w:iCs/>
                <w:lang w:val="en-US"/>
              </w:rPr>
              <w:t>The formation of an individual comprehension of the problem in accordance with the needs of preparing a concrete doctoral dissertation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iCs/>
                <w:lang w:val="en-US"/>
              </w:rPr>
              <w:t>its complexity and structure</w:t>
            </w:r>
            <w:r w:rsidRPr="00306438">
              <w:rPr>
                <w:rFonts w:ascii="Candara" w:hAnsi="Candara"/>
                <w:iCs/>
                <w:lang w:val="sr-Cyrl-CS"/>
              </w:rPr>
              <w:t>.</w:t>
            </w:r>
            <w:r w:rsidRPr="00306438">
              <w:rPr>
                <w:rFonts w:ascii="Candara" w:hAnsi="Candara"/>
                <w:i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Students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study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professional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literature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iCs/>
                <w:lang w:val="en-US"/>
              </w:rPr>
              <w:t>conduct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the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analysis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in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order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to</w:t>
            </w:r>
            <w:r w:rsidRPr="00306438">
              <w:rPr>
                <w:rFonts w:ascii="Candara" w:hAnsi="Candara"/>
                <w:i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iCs/>
                <w:lang w:val="en-US"/>
              </w:rPr>
              <w:t>find solutions to concrete problems defined in the theses of their doctoral dissertations</w:t>
            </w:r>
            <w:r w:rsidRPr="00306438">
              <w:rPr>
                <w:rFonts w:ascii="Candara" w:hAnsi="Candara"/>
                <w:iCs/>
                <w:lang w:val="sr-Cyrl-CS"/>
              </w:rPr>
              <w:t>.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During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their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research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work, </w:t>
            </w:r>
            <w:r w:rsidRPr="00306438">
              <w:rPr>
                <w:rFonts w:ascii="Candara" w:hAnsi="Candara"/>
                <w:bCs/>
                <w:lang w:val="en-US"/>
              </w:rPr>
              <w:t>they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have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consultations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with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mentor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and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other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professors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who are experts in the field of the theme of their work if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there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is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need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for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that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. </w:t>
            </w:r>
            <w:r w:rsidRPr="00306438">
              <w:rPr>
                <w:rFonts w:ascii="Candara" w:hAnsi="Candara"/>
                <w:bCs/>
                <w:lang w:val="en-US"/>
              </w:rPr>
              <w:t>Within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framework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given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theme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students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do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certain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measurements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conduct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questionnaires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surveys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statistical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analysis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data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and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other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types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of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 </w:t>
            </w:r>
            <w:r w:rsidRPr="00306438">
              <w:rPr>
                <w:rFonts w:ascii="Candara" w:hAnsi="Candara"/>
                <w:bCs/>
                <w:lang w:val="en-US"/>
              </w:rPr>
              <w:t>research</w:t>
            </w:r>
            <w:r w:rsidRPr="00306438">
              <w:rPr>
                <w:rFonts w:ascii="Candara" w:hAnsi="Candara"/>
                <w:bCs/>
                <w:lang w:val="sr-Cyrl-CS"/>
              </w:rPr>
              <w:t xml:space="preserve">, </w:t>
            </w:r>
            <w:r w:rsidRPr="00306438">
              <w:rPr>
                <w:rFonts w:ascii="Candara" w:hAnsi="Candara"/>
                <w:bCs/>
                <w:lang w:val="en-US"/>
              </w:rPr>
              <w:t>if such is envisaged by the assignment of the doctoral dissertation</w:t>
            </w:r>
            <w:r w:rsidRPr="00306438">
              <w:rPr>
                <w:rFonts w:ascii="Candara" w:hAnsi="Candara"/>
                <w:bCs/>
                <w:lang w:val="sr-Cyrl-CS"/>
              </w:rPr>
              <w:t>.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☒</w:t>
            </w:r>
            <w:r w:rsidRPr="008F6A4A">
              <w:rPr>
                <w:rFonts w:ascii="Candara" w:hAnsi="Candara"/>
              </w:rPr>
              <w:t xml:space="preserve">Serbian  (complete course)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English (complete course)         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  Other _____________ (complete course)</w:t>
            </w:r>
          </w:p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 xml:space="preserve">Serbian with English mentoring      </w:t>
            </w:r>
            <w:r w:rsidRPr="008F6A4A">
              <w:rPr>
                <w:rFonts w:ascii="Courier New" w:eastAsia="MS Gothic" w:hAnsi="Courier New" w:cs="Courier New"/>
              </w:rPr>
              <w:t>☐</w:t>
            </w:r>
            <w:r w:rsidRPr="008F6A4A">
              <w:rPr>
                <w:rFonts w:ascii="Candara" w:hAnsi="Candara"/>
              </w:rPr>
              <w:t>Serbian with other mentoring ______________</w:t>
            </w:r>
          </w:p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points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  <w:tc>
          <w:tcPr>
            <w:tcW w:w="3255" w:type="dxa"/>
            <w:gridSpan w:val="3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255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100</w:t>
            </w:r>
          </w:p>
        </w:tc>
      </w:tr>
      <w:tr w:rsidR="001715BF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1715BF" w:rsidRPr="008F6A4A" w:rsidRDefault="001715BF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F6A4A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BF"/>
    <w:rsid w:val="000D3314"/>
    <w:rsid w:val="001715BF"/>
    <w:rsid w:val="004A2B01"/>
    <w:rsid w:val="0065071F"/>
    <w:rsid w:val="0097122C"/>
    <w:rsid w:val="00B55775"/>
    <w:rsid w:val="00D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BF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715B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BF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715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4</cp:revision>
  <dcterms:created xsi:type="dcterms:W3CDTF">2016-04-13T06:51:00Z</dcterms:created>
  <dcterms:modified xsi:type="dcterms:W3CDTF">2016-04-14T07:22:00Z</dcterms:modified>
</cp:coreProperties>
</file>