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06454" w:rsidRDefault="00F13FFE" w:rsidP="00D920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Operative dentistry</w:t>
            </w:r>
            <w:r w:rsidR="00D9207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and endodontics</w:t>
            </w:r>
            <w:r w:rsidR="00606454" w:rsidRPr="00606454">
              <w:rPr>
                <w:rFonts w:ascii="Times New Roman" w:hAnsi="Times New Roman"/>
                <w:b/>
                <w:noProof/>
                <w:sz w:val="24"/>
                <w:szCs w:val="24"/>
              </w:rPr>
              <w:t>– clinic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al</w:t>
            </w:r>
            <w:r w:rsidR="00606454" w:rsidRPr="0060645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</w:t>
            </w:r>
            <w:r w:rsidR="00CB15DA">
              <w:rPr>
                <w:rFonts w:ascii="Times New Roman" w:hAnsi="Times New Roman"/>
                <w:b/>
                <w:noProof/>
                <w:sz w:val="24"/>
                <w:szCs w:val="24"/>
              </w:rPr>
              <w:t>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53B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53BD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06454" w:rsidRDefault="006064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06454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9180D" w:rsidRDefault="00F815A1" w:rsidP="0059053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9180D">
              <w:rPr>
                <w:rFonts w:ascii="Candara" w:hAnsi="Candara"/>
                <w:b/>
                <w:sz w:val="24"/>
                <w:szCs w:val="24"/>
              </w:rPr>
              <w:t>Full prof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B13CBB">
              <w:rPr>
                <w:rFonts w:ascii="Candara" w:hAnsi="Candara"/>
                <w:b/>
                <w:sz w:val="24"/>
                <w:szCs w:val="24"/>
              </w:rPr>
              <w:t xml:space="preserve"> dr</w:t>
            </w:r>
            <w:r w:rsidRPr="0009180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Dragica Dačić – Simonović, Full prof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B13CBB">
              <w:rPr>
                <w:rFonts w:ascii="Candara" w:hAnsi="Candara"/>
                <w:b/>
                <w:sz w:val="24"/>
                <w:szCs w:val="24"/>
              </w:rPr>
              <w:t xml:space="preserve">dr 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Jovanka Gašić, Assoc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p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rof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B13CBB">
              <w:rPr>
                <w:rFonts w:ascii="Candara" w:hAnsi="Candara"/>
                <w:b/>
                <w:sz w:val="24"/>
                <w:szCs w:val="24"/>
              </w:rPr>
              <w:t xml:space="preserve">dr 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Aleksandar Mitić, Assoc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prof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B13CBB">
              <w:rPr>
                <w:rFonts w:ascii="Candara" w:hAnsi="Candara"/>
                <w:b/>
                <w:sz w:val="24"/>
                <w:szCs w:val="24"/>
              </w:rPr>
              <w:t xml:space="preserve">dr 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Stefan Dačić, Assist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dr Jelena Popović, 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A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>ssist</w:t>
            </w:r>
            <w:r w:rsidR="00590535"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09180D" w:rsidRPr="0009180D">
              <w:rPr>
                <w:rFonts w:ascii="Candara" w:hAnsi="Candara"/>
                <w:b/>
                <w:sz w:val="24"/>
                <w:szCs w:val="24"/>
              </w:rPr>
              <w:t xml:space="preserve"> dr Marija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606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6454"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B15DA" w:rsidRPr="00CB15DA" w:rsidRDefault="00CB15DA" w:rsidP="00CB15DA">
            <w:pPr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B15DA">
              <w:rPr>
                <w:rFonts w:ascii="Times New Roman" w:hAnsi="Times New Roman"/>
                <w:sz w:val="24"/>
                <w:szCs w:val="24"/>
              </w:rPr>
              <w:t>To introduce students to :</w:t>
            </w:r>
          </w:p>
          <w:p w:rsidR="00CB15DA" w:rsidRPr="00590535" w:rsidRDefault="00CB15DA" w:rsidP="00CB15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histomorphology of apex periodontium,</w:t>
            </w:r>
          </w:p>
          <w:p w:rsidR="00CB15DA" w:rsidRPr="00590535" w:rsidRDefault="00CB15DA" w:rsidP="00CB15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etiopathogenesis</w:t>
            </w:r>
            <w:r w:rsidR="005905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 xml:space="preserve"> diagnosis and therapy of ap</w:t>
            </w:r>
            <w:r w:rsidR="00760FE8">
              <w:rPr>
                <w:rFonts w:ascii="Times New Roman" w:hAnsi="Times New Roman"/>
                <w:b/>
                <w:sz w:val="24"/>
                <w:szCs w:val="24"/>
              </w:rPr>
              <w:t>ical</w:t>
            </w: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 xml:space="preserve"> periodonti</w:t>
            </w:r>
            <w:r w:rsidR="00760FE8">
              <w:rPr>
                <w:rFonts w:ascii="Times New Roman" w:hAnsi="Times New Roman"/>
                <w:b/>
                <w:sz w:val="24"/>
                <w:szCs w:val="24"/>
              </w:rPr>
              <w:t>tis</w:t>
            </w: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B15DA" w:rsidRPr="00590535" w:rsidRDefault="00CB15DA" w:rsidP="00CB15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endoperiodontal lesions,</w:t>
            </w:r>
          </w:p>
          <w:p w:rsidR="00CB15DA" w:rsidRPr="00590535" w:rsidRDefault="00CB15DA" w:rsidP="00CB15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treatment methods of apex periodontium,</w:t>
            </w:r>
          </w:p>
          <w:p w:rsidR="00CB15DA" w:rsidRPr="00590535" w:rsidRDefault="00CB15DA" w:rsidP="00CB15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90535">
              <w:rPr>
                <w:rFonts w:ascii="Times New Roman" w:hAnsi="Times New Roman"/>
                <w:b/>
                <w:sz w:val="24"/>
                <w:szCs w:val="24"/>
              </w:rPr>
              <w:t>biological approach to treatment of apex periodontitis.</w:t>
            </w:r>
          </w:p>
          <w:p w:rsidR="00911529" w:rsidRPr="00CB15DA" w:rsidRDefault="00911529" w:rsidP="00CB15DA">
            <w:pPr>
              <w:suppressAutoHyphens w:val="0"/>
              <w:spacing w:after="0" w:line="240" w:lineRule="auto"/>
              <w:ind w:left="360" w:right="29"/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A0E97" w:rsidRPr="00A05DFD" w:rsidRDefault="00F669E1" w:rsidP="00A05DF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Students learn about anatomical 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</w:rPr>
              <w:t>and histological details of apical periodontium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; etiology and pathogenesis of </w:t>
            </w:r>
            <w:r w:rsidR="00CB15DA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apical periodontitis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; </w:t>
            </w:r>
            <w:r w:rsidR="00B816D3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biological aspect of endodontics therapy, </w:t>
            </w:r>
            <w:r w:rsidR="00C7395B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endodontic 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protocol 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of infected </w:t>
            </w:r>
            <w:r w:rsidR="00D801D5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root</w:t>
            </w:r>
            <w:r w:rsidR="00606454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canal therapy; </w:t>
            </w:r>
            <w:r w:rsidR="006C4936" w:rsidRPr="00A05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 w:rsidR="0066358D" w:rsidRPr="003147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omplications during the endodontic therapy and outcome evaluation of the therapy</w:t>
            </w:r>
            <w:r w:rsidR="00C30879" w:rsidRPr="00A05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endodontic reatretman.</w:t>
            </w:r>
          </w:p>
          <w:p w:rsidR="00B54668" w:rsidRPr="00606454" w:rsidRDefault="000F4E54" w:rsidP="0094728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A05DFD">
              <w:rPr>
                <w:rFonts w:ascii="Times New Roman" w:hAnsi="Times New Roman"/>
                <w:b/>
                <w:sz w:val="24"/>
                <w:szCs w:val="24"/>
              </w:rPr>
              <w:t>In terms of practical knowledge, students are improving the following:</w:t>
            </w:r>
            <w:r w:rsidR="00DC2659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5DFD" w:rsidRPr="00A05DFD">
              <w:rPr>
                <w:rFonts w:ascii="Times New Roman" w:hAnsi="Times New Roman"/>
                <w:b/>
                <w:sz w:val="24"/>
                <w:szCs w:val="24"/>
              </w:rPr>
              <w:t>endodontic access cavity preparation</w:t>
            </w:r>
            <w:r w:rsidR="00A05DF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102F0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working length determination, </w:t>
            </w:r>
            <w:r w:rsidR="00D95028" w:rsidRPr="00A05DFD">
              <w:rPr>
                <w:rFonts w:ascii="Times New Roman" w:hAnsi="Times New Roman"/>
                <w:b/>
                <w:sz w:val="24"/>
                <w:szCs w:val="24"/>
              </w:rPr>
              <w:t>root canal preparation (mechanical cleaning and shaping</w:t>
            </w:r>
            <w:r w:rsidR="006F1250" w:rsidRPr="00A05D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5028" w:rsidRPr="00A05DFD">
              <w:rPr>
                <w:rFonts w:ascii="Times New Roman" w:hAnsi="Times New Roman"/>
                <w:b/>
                <w:sz w:val="24"/>
                <w:szCs w:val="24"/>
              </w:rPr>
              <w:t>, chemical root canal preparation, materials for temporary and definite root canal fillings, techniques of root canal obturation</w:t>
            </w:r>
            <w:r w:rsidR="006F1250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21E6A" w:rsidRPr="00A05DFD">
              <w:rPr>
                <w:rFonts w:ascii="Times New Roman" w:hAnsi="Times New Roman"/>
                <w:b/>
                <w:sz w:val="24"/>
                <w:szCs w:val="24"/>
              </w:rPr>
              <w:t>differences</w:t>
            </w:r>
            <w:r w:rsidR="00D95028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1E6A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="00DC2659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endodontic protocol</w:t>
            </w:r>
            <w:r w:rsidR="00B21E6A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s</w:t>
            </w:r>
            <w:r w:rsidR="00DC2659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of non</w:t>
            </w:r>
            <w:r w:rsidR="002908C8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-</w:t>
            </w:r>
            <w:r w:rsidR="00DC2659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infected and infected root canal therapy</w:t>
            </w:r>
            <w:r w:rsidR="002908C8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330E91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t</w:t>
            </w:r>
            <w:r w:rsidR="00330E91" w:rsidRPr="00A05DFD">
              <w:rPr>
                <w:rFonts w:ascii="Times New Roman" w:hAnsi="Times New Roman"/>
                <w:b/>
                <w:sz w:val="24"/>
                <w:szCs w:val="24"/>
              </w:rPr>
              <w:t>reatment of endodontic emergencies</w:t>
            </w:r>
            <w:r w:rsidR="00764655" w:rsidRPr="00A05DF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B15DA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reconstruction of endodontic</w:t>
            </w:r>
            <w:r w:rsidR="00BD7DF7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ally</w:t>
            </w:r>
            <w:r w:rsidR="00CB15DA" w:rsidRPr="00A05DF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treated teeth</w:t>
            </w:r>
            <w:r w:rsidR="00606454" w:rsidRPr="00BA0E9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53B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53B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4D20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4D2045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4D2045">
              <w:rPr>
                <w:rFonts w:ascii="Candara" w:hAnsi="Candara"/>
                <w:b/>
                <w:sz w:val="24"/>
                <w:szCs w:val="24"/>
              </w:rPr>
              <w:t>40</w:t>
            </w:r>
          </w:p>
          <w:p w:rsidR="00824DCE" w:rsidRPr="00824DCE" w:rsidRDefault="00824DCE" w:rsidP="004D20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4D2045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32" w:rsidRDefault="00C75E32" w:rsidP="00864926">
      <w:pPr>
        <w:spacing w:after="0" w:line="240" w:lineRule="auto"/>
      </w:pPr>
      <w:r>
        <w:separator/>
      </w:r>
    </w:p>
  </w:endnote>
  <w:endnote w:type="continuationSeparator" w:id="1">
    <w:p w:rsidR="00C75E32" w:rsidRDefault="00C75E3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32" w:rsidRDefault="00C75E32" w:rsidP="00864926">
      <w:pPr>
        <w:spacing w:after="0" w:line="240" w:lineRule="auto"/>
      </w:pPr>
      <w:r>
        <w:separator/>
      </w:r>
    </w:p>
  </w:footnote>
  <w:footnote w:type="continuationSeparator" w:id="1">
    <w:p w:rsidR="00C75E32" w:rsidRDefault="00C75E3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8A93A0C"/>
    <w:multiLevelType w:val="hybridMultilevel"/>
    <w:tmpl w:val="6916D7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252A6"/>
    <w:multiLevelType w:val="hybridMultilevel"/>
    <w:tmpl w:val="02221F20"/>
    <w:lvl w:ilvl="0" w:tplc="396A26FE">
      <w:start w:val="1"/>
      <w:numFmt w:val="bullet"/>
      <w:lvlText w:val=""/>
      <w:lvlJc w:val="left"/>
      <w:pPr>
        <w:tabs>
          <w:tab w:val="num" w:pos="667"/>
        </w:tabs>
        <w:ind w:left="667" w:hanging="454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3683A"/>
    <w:rsid w:val="00061EF9"/>
    <w:rsid w:val="0006393C"/>
    <w:rsid w:val="0006402B"/>
    <w:rsid w:val="0006714B"/>
    <w:rsid w:val="0009180D"/>
    <w:rsid w:val="000A7EAA"/>
    <w:rsid w:val="000D097A"/>
    <w:rsid w:val="000F4E54"/>
    <w:rsid w:val="000F6001"/>
    <w:rsid w:val="00122223"/>
    <w:rsid w:val="00137426"/>
    <w:rsid w:val="00156356"/>
    <w:rsid w:val="001D3BF1"/>
    <w:rsid w:val="001D64D3"/>
    <w:rsid w:val="001F14FA"/>
    <w:rsid w:val="001F60E3"/>
    <w:rsid w:val="002319B6"/>
    <w:rsid w:val="00234F6F"/>
    <w:rsid w:val="00287C84"/>
    <w:rsid w:val="002908C8"/>
    <w:rsid w:val="00313E20"/>
    <w:rsid w:val="00315601"/>
    <w:rsid w:val="00323176"/>
    <w:rsid w:val="00330E91"/>
    <w:rsid w:val="003B32A9"/>
    <w:rsid w:val="003C177A"/>
    <w:rsid w:val="003C2E5A"/>
    <w:rsid w:val="003D4A3C"/>
    <w:rsid w:val="00406F80"/>
    <w:rsid w:val="00431EFA"/>
    <w:rsid w:val="00452F99"/>
    <w:rsid w:val="00464665"/>
    <w:rsid w:val="00480B49"/>
    <w:rsid w:val="00493925"/>
    <w:rsid w:val="004D1C7E"/>
    <w:rsid w:val="004D2045"/>
    <w:rsid w:val="004E562D"/>
    <w:rsid w:val="00504E88"/>
    <w:rsid w:val="00530935"/>
    <w:rsid w:val="00590535"/>
    <w:rsid w:val="005A5D38"/>
    <w:rsid w:val="005B0885"/>
    <w:rsid w:val="005B64BF"/>
    <w:rsid w:val="005D46D7"/>
    <w:rsid w:val="005E1984"/>
    <w:rsid w:val="00603117"/>
    <w:rsid w:val="006051E3"/>
    <w:rsid w:val="00606454"/>
    <w:rsid w:val="00647DAF"/>
    <w:rsid w:val="00653BDA"/>
    <w:rsid w:val="0066358D"/>
    <w:rsid w:val="0069043C"/>
    <w:rsid w:val="006C4936"/>
    <w:rsid w:val="006E40AE"/>
    <w:rsid w:val="006F1250"/>
    <w:rsid w:val="006F647C"/>
    <w:rsid w:val="00760FE8"/>
    <w:rsid w:val="00764655"/>
    <w:rsid w:val="00783C57"/>
    <w:rsid w:val="00792CB4"/>
    <w:rsid w:val="008206F2"/>
    <w:rsid w:val="00824DCE"/>
    <w:rsid w:val="00864926"/>
    <w:rsid w:val="00893D28"/>
    <w:rsid w:val="008A30CE"/>
    <w:rsid w:val="008B1D6B"/>
    <w:rsid w:val="008C31B7"/>
    <w:rsid w:val="00911529"/>
    <w:rsid w:val="00932B21"/>
    <w:rsid w:val="00947285"/>
    <w:rsid w:val="00972302"/>
    <w:rsid w:val="009906EA"/>
    <w:rsid w:val="009D3F5E"/>
    <w:rsid w:val="009F3F9F"/>
    <w:rsid w:val="00A05DFD"/>
    <w:rsid w:val="00A10286"/>
    <w:rsid w:val="00A1335D"/>
    <w:rsid w:val="00A73F5B"/>
    <w:rsid w:val="00AF47A6"/>
    <w:rsid w:val="00AF7ED9"/>
    <w:rsid w:val="00B13CBB"/>
    <w:rsid w:val="00B21E6A"/>
    <w:rsid w:val="00B50491"/>
    <w:rsid w:val="00B54668"/>
    <w:rsid w:val="00B816D3"/>
    <w:rsid w:val="00B9521A"/>
    <w:rsid w:val="00BA0E97"/>
    <w:rsid w:val="00BD3504"/>
    <w:rsid w:val="00BD7DF7"/>
    <w:rsid w:val="00C102F0"/>
    <w:rsid w:val="00C30879"/>
    <w:rsid w:val="00C63234"/>
    <w:rsid w:val="00C7395B"/>
    <w:rsid w:val="00C75E32"/>
    <w:rsid w:val="00CA6D81"/>
    <w:rsid w:val="00CB15DA"/>
    <w:rsid w:val="00CC23C3"/>
    <w:rsid w:val="00CD17F1"/>
    <w:rsid w:val="00CF3879"/>
    <w:rsid w:val="00D30B2A"/>
    <w:rsid w:val="00D801D5"/>
    <w:rsid w:val="00D92076"/>
    <w:rsid w:val="00D92F39"/>
    <w:rsid w:val="00D95028"/>
    <w:rsid w:val="00DB43CC"/>
    <w:rsid w:val="00DC2659"/>
    <w:rsid w:val="00DF089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3FFE"/>
    <w:rsid w:val="00F237EB"/>
    <w:rsid w:val="00F56373"/>
    <w:rsid w:val="00F669E1"/>
    <w:rsid w:val="00F742D3"/>
    <w:rsid w:val="00F815A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30E91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820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0E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A0F1-58D2-4B98-91A7-ACCB082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19</cp:revision>
  <cp:lastPrinted>2015-12-23T11:47:00Z</cp:lastPrinted>
  <dcterms:created xsi:type="dcterms:W3CDTF">2016-03-15T09:41:00Z</dcterms:created>
  <dcterms:modified xsi:type="dcterms:W3CDTF">2016-04-11T06:59:00Z</dcterms:modified>
</cp:coreProperties>
</file>