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EE7846" w:rsidRDefault="00256F3F" w:rsidP="00EE7846">
            <w:pPr>
              <w:spacing w:line="240" w:lineRule="auto"/>
              <w:contextualSpacing/>
              <w:jc w:val="left"/>
              <w:rPr>
                <w:rFonts w:ascii="Arial Narrow" w:hAnsi="Arial Narrow"/>
                <w:b/>
                <w:bCs/>
                <w:lang w:val="sr-Latn-CS"/>
              </w:rPr>
            </w:pPr>
            <w:r w:rsidRPr="00EE7846">
              <w:rPr>
                <w:rFonts w:ascii="Candara" w:hAnsi="Candara"/>
                <w:b/>
              </w:rPr>
              <w:t>INTEGRATED ACADEMIC STUDIES OF PHARMACY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EE7846" w:rsidRDefault="00256F3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EE7846">
              <w:rPr>
                <w:rFonts w:ascii="Candara" w:hAnsi="Candara"/>
                <w:b/>
              </w:rPr>
              <w:t>Introduction to Pharmacy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E6F24" w:rsidP="006C461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</w:t>
            </w:r>
            <w:r w:rsidR="006C4618">
              <w:rPr>
                <w:rFonts w:ascii="Candara" w:hAnsi="Candara"/>
              </w:rPr>
              <w:t xml:space="preserve">x </w:t>
            </w:r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C461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>x</w:t>
            </w:r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>
                  <w:rPr>
                    <w:rFonts w:ascii="Candara" w:hAnsi="Candara"/>
                  </w:rPr>
                  <w:t xml:space="preserve"> 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3E6F24" w:rsidP="006C461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C4618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C4618" w:rsidP="00EE784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A4F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83AED" w:rsidRDefault="00783AED" w:rsidP="00783AED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8D5FC8">
              <w:rPr>
                <w:rFonts w:ascii="Candara" w:hAnsi="Candara"/>
                <w:bCs/>
                <w:lang w:val="sr-Latn-CS"/>
              </w:rPr>
              <w:t>Ass. prof. Dr Dragana Pavlovi</w:t>
            </w:r>
            <w:r>
              <w:rPr>
                <w:rFonts w:ascii="Candara" w:hAnsi="Candara"/>
                <w:bCs/>
                <w:lang w:val="sr-Latn-CS"/>
              </w:rPr>
              <w:t>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3E6F2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7A4FCF">
                  <w:rPr>
                    <w:rFonts w:ascii="MS Gothic" w:eastAsia="MS Gothic" w:hAnsi="MS Gothic"/>
                  </w:rPr>
                  <w:t>x</w:t>
                </w:r>
                <w:r w:rsidR="00D70502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7A4FCF">
                  <w:rPr>
                    <w:rFonts w:ascii="MS Gothic" w:eastAsia="MS Gothic" w:hAnsi="MS Gothic"/>
                  </w:rPr>
                  <w:t>x</w:t>
                </w:r>
                <w:r w:rsidR="00D70502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7A4FCF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3E6F2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D70502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7A4FCF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D70502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7A4FCF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D70502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>Seminar</w:t>
            </w:r>
          </w:p>
          <w:p w:rsidR="00603117" w:rsidRPr="00B54668" w:rsidRDefault="003E6F2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700EE" w:rsidRDefault="003700EE" w:rsidP="003700EE">
            <w:pPr>
              <w:ind w:left="360"/>
              <w:rPr>
                <w:rFonts w:ascii="Arial Narrow" w:hAnsi="Arial Narrow"/>
                <w:lang w:val="sr-Latn-CS"/>
              </w:rPr>
            </w:pPr>
            <w:r w:rsidRPr="00BF3AC8">
              <w:rPr>
                <w:rFonts w:ascii="Candara" w:hAnsi="Candara"/>
                <w:b/>
              </w:rPr>
              <w:t>Upon completion of the course the student will</w:t>
            </w:r>
            <w:r w:rsidR="00BF3AC8" w:rsidRPr="00BF3AC8">
              <w:rPr>
                <w:rFonts w:ascii="Candara" w:hAnsi="Candara"/>
                <w:b/>
              </w:rPr>
              <w:t xml:space="preserve"> understand:</w:t>
            </w:r>
            <w:r w:rsidR="00BF3AC8">
              <w:rPr>
                <w:rFonts w:ascii="Arial Narrow" w:hAnsi="Arial Narrow"/>
                <w:lang w:val="sr-Latn-CS"/>
              </w:rPr>
              <w:t xml:space="preserve"> </w:t>
            </w:r>
          </w:p>
          <w:p w:rsidR="00BF3AC8" w:rsidRPr="00BF3AC8" w:rsidRDefault="00B34206" w:rsidP="00BF3AC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val="sr-Latn-CS"/>
              </w:rPr>
            </w:pPr>
            <w:r w:rsidRPr="00BF3AC8">
              <w:rPr>
                <w:rFonts w:ascii="Candara" w:hAnsi="Candara"/>
                <w:b/>
              </w:rPr>
              <w:t>the importance of pharmacy in the healthcare system, ethics and sociology of production, distribution and use of medications in prevention and cure of illness, protection and health improvement</w:t>
            </w:r>
          </w:p>
          <w:p w:rsidR="00BF3AC8" w:rsidRPr="00BF3AC8" w:rsidRDefault="00B34206" w:rsidP="00BF3AC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val="sr-Latn-CS"/>
              </w:rPr>
            </w:pPr>
            <w:r w:rsidRPr="00BF3AC8">
              <w:rPr>
                <w:rFonts w:ascii="Candara" w:hAnsi="Candara"/>
                <w:b/>
              </w:rPr>
              <w:t>recently changes in education and policy necessary to implement patient-focused pharmacy practice</w:t>
            </w:r>
          </w:p>
          <w:p w:rsidR="00BF3AC8" w:rsidRPr="00BF3AC8" w:rsidRDefault="00BF3AC8" w:rsidP="00BF3AC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val="sr-Latn-CS"/>
              </w:rPr>
            </w:pPr>
            <w:r>
              <w:rPr>
                <w:rFonts w:ascii="Candara" w:hAnsi="Candara"/>
                <w:b/>
              </w:rPr>
              <w:t>n</w:t>
            </w:r>
            <w:r w:rsidR="00B34206" w:rsidRPr="00BF3AC8">
              <w:rPr>
                <w:rFonts w:ascii="Candara" w:hAnsi="Candara"/>
                <w:b/>
              </w:rPr>
              <w:t>ew dimensions of pharmacy practice: pharmaceutical care, evidence-based pharmacy, meeting patients’ needs, chronic patient care and self-medication</w:t>
            </w:r>
          </w:p>
          <w:p w:rsidR="00911529" w:rsidRPr="00BF3AC8" w:rsidRDefault="00BF3AC8" w:rsidP="00BF3AC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val="sr-Latn-CS"/>
              </w:rPr>
            </w:pPr>
            <w:r>
              <w:rPr>
                <w:rFonts w:ascii="Candara" w:hAnsi="Candara"/>
                <w:b/>
              </w:rPr>
              <w:t>p</w:t>
            </w:r>
            <w:r w:rsidR="00B34206" w:rsidRPr="00BF3AC8">
              <w:rPr>
                <w:rFonts w:ascii="Candara" w:hAnsi="Candara"/>
                <w:b/>
              </w:rPr>
              <w:t>rofessional knowledge and skills concerning developmental trends in pharmaceutical science and profession as well as communication wisdom with fellow colleagues, doctors, patients and general public.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224"/>
            </w:tblGrid>
            <w:tr w:rsidR="00BF3AC8" w:rsidRPr="00BF3AC8">
              <w:trPr>
                <w:trHeight w:val="110"/>
              </w:trPr>
              <w:tc>
                <w:tcPr>
                  <w:tcW w:w="0" w:type="auto"/>
                </w:tcPr>
                <w:p w:rsidR="00BF3AC8" w:rsidRPr="00BF3AC8" w:rsidRDefault="00B34206" w:rsidP="00D7050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34206">
                    <w:rPr>
                      <w:rFonts w:ascii="Candara" w:hAnsi="Candara"/>
                      <w:b/>
                    </w:rPr>
                    <w:t>Introduction to Pharmacy enables pharmacy students to fully grasp the scope of pharmacy practice</w:t>
                  </w:r>
                  <w:r w:rsidR="00BF3AC8">
                    <w:rPr>
                      <w:rFonts w:ascii="Candara" w:hAnsi="Candara"/>
                      <w:b/>
                    </w:rPr>
                    <w:t xml:space="preserve"> </w:t>
                  </w:r>
                  <w:r w:rsidR="00BF3AC8" w:rsidRPr="00D70502">
                    <w:rPr>
                      <w:rFonts w:ascii="Candara" w:hAnsi="Candara"/>
                      <w:b/>
                    </w:rPr>
                    <w:t xml:space="preserve">alongside </w:t>
                  </w:r>
                  <w:r w:rsidR="00BF3AC8" w:rsidRPr="00BF3AC8">
                    <w:rPr>
                      <w:rFonts w:ascii="Candara" w:hAnsi="Candara"/>
                      <w:b/>
                    </w:rPr>
                    <w:t>importance and diversity of the future profession</w:t>
                  </w:r>
                  <w:r w:rsidR="00BF3AC8" w:rsidRPr="00D70502">
                    <w:rPr>
                      <w:rFonts w:ascii="Candara" w:hAnsi="Candara"/>
                      <w:b/>
                    </w:rPr>
                    <w:t xml:space="preserve"> in order to choose their career direction early on the in the curriculum.</w:t>
                  </w:r>
                  <w:r w:rsidR="00BF3AC8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B34206" w:rsidRPr="00B34206" w:rsidRDefault="00B34206" w:rsidP="009A11B4">
            <w:pPr>
              <w:pStyle w:val="Default"/>
              <w:jc w:val="both"/>
              <w:rPr>
                <w:rFonts w:ascii="Candara" w:eastAsia="Times New Roman" w:hAnsi="Candara" w:cs="Times New Roman"/>
                <w:b/>
                <w:color w:val="auto"/>
                <w:sz w:val="20"/>
                <w:szCs w:val="20"/>
                <w:lang w:val="en-GB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224"/>
            </w:tblGrid>
            <w:tr w:rsidR="00D70502" w:rsidRPr="00D70502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10008"/>
                  </w:tblGrid>
                  <w:tr w:rsidR="00D70502" w:rsidRPr="00D70502" w:rsidTr="00D70502">
                    <w:trPr>
                      <w:trHeight w:val="243"/>
                    </w:trPr>
                    <w:tc>
                      <w:tcPr>
                        <w:tcW w:w="0" w:type="auto"/>
                      </w:tcPr>
                      <w:p w:rsidR="00D70502" w:rsidRPr="00D70502" w:rsidRDefault="00B34206" w:rsidP="00D70502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ndara" w:hAnsi="Candara"/>
                            <w:b/>
                          </w:rPr>
                        </w:pPr>
                        <w:r w:rsidRPr="00D70502">
                          <w:rPr>
                            <w:rFonts w:ascii="Candara" w:hAnsi="Candara"/>
                            <w:b/>
                          </w:rPr>
                          <w:lastRenderedPageBreak/>
                          <w:t xml:space="preserve">Conceptual framework of pharmacy; historical overview of pharmacy as both science and practice; knowledge fragmentation and specialization in pharmacy. History of pharmacy practice – Hippocratic Oath and its implications, Geneva revision of the Hippocratic Oath, codes of ethics. New trend for pharmacy practice: moving away from its original focus on medicine supply towards a more inclusive focus on patient care. Professional orientation in pharmacy: public pharmacy, hospital pharmacy, pharmaceutical industry and distribution, pharmaceutical education and </w:t>
                        </w:r>
                        <w:r w:rsidR="00B370E0" w:rsidRPr="00D70502">
                          <w:rPr>
                            <w:rFonts w:ascii="Candara" w:hAnsi="Candara"/>
                            <w:b/>
                          </w:rPr>
                          <w:t>legislation</w:t>
                        </w:r>
                        <w:r w:rsidRPr="00D70502">
                          <w:rPr>
                            <w:rFonts w:ascii="Candara" w:hAnsi="Candara"/>
                            <w:b/>
                          </w:rPr>
                          <w:t xml:space="preserve">. </w:t>
                        </w:r>
                        <w:r w:rsidR="00D70502" w:rsidRPr="00D70502">
                          <w:rPr>
                            <w:rFonts w:ascii="Candara" w:hAnsi="Candara"/>
                            <w:b/>
                          </w:rPr>
                          <w:t xml:space="preserve">Professional orientation in Pharmacy and importance of the continuous professional self-development. </w:t>
                        </w:r>
                      </w:p>
                    </w:tc>
                  </w:tr>
                </w:tbl>
                <w:p w:rsidR="00D70502" w:rsidRPr="00D70502" w:rsidRDefault="00D70502" w:rsidP="00D7050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hAnsi="Candara"/>
                      <w:b/>
                    </w:rPr>
                  </w:pPr>
                </w:p>
              </w:tc>
            </w:tr>
          </w:tbl>
          <w:p w:rsidR="00D70502" w:rsidRDefault="00D70502" w:rsidP="00D705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</w:t>
            </w:r>
            <w:r w:rsidR="00B34206" w:rsidRPr="00B34206">
              <w:rPr>
                <w:rFonts w:ascii="Candara" w:hAnsi="Candara"/>
                <w:b/>
              </w:rPr>
              <w:t xml:space="preserve">Definition of health and disease: health as a primary human value and disease as a phenomenon imminent to human </w:t>
            </w:r>
            <w:r>
              <w:rPr>
                <w:rFonts w:ascii="Candara" w:hAnsi="Candara"/>
                <w:b/>
              </w:rPr>
              <w:t xml:space="preserve">     </w:t>
            </w:r>
            <w:r w:rsidR="00B34206" w:rsidRPr="00B34206">
              <w:rPr>
                <w:rFonts w:ascii="Candara" w:hAnsi="Candara"/>
                <w:b/>
              </w:rPr>
              <w:t xml:space="preserve">life. Public health and pharmacist role in health promotion. Effectiveness and responsibility in performing the professional role in a healthcare system. </w:t>
            </w:r>
          </w:p>
          <w:p w:rsidR="00B34206" w:rsidRDefault="00B34206" w:rsidP="00D705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Candara" w:hAnsi="Candara"/>
                <w:b/>
              </w:rPr>
            </w:pPr>
            <w:r w:rsidRPr="00B34206">
              <w:rPr>
                <w:rFonts w:ascii="Candara" w:hAnsi="Candara"/>
                <w:b/>
              </w:rPr>
              <w:t>Professional wisdom in communication with patients, other medicinal professionals and global public.</w:t>
            </w:r>
            <w:r w:rsidR="00D70502">
              <w:rPr>
                <w:rFonts w:ascii="Candara" w:hAnsi="Candara"/>
                <w:b/>
              </w:rPr>
              <w:t xml:space="preserve"> Basic rules of good communication. </w:t>
            </w:r>
          </w:p>
          <w:p w:rsidR="00B54668" w:rsidRPr="00B54668" w:rsidRDefault="00B54668" w:rsidP="00D705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E6F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7A4FCF">
                  <w:rPr>
                    <w:rFonts w:ascii="MS Gothic" w:eastAsia="MS Gothic" w:hAnsi="MS Gothic"/>
                  </w:rPr>
                  <w:t>x</w:t>
                </w:r>
                <w:r w:rsidR="00D70502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D7050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E6F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7A4FCF">
                  <w:rPr>
                    <w:rFonts w:ascii="MS Gothic" w:eastAsia="MS Gothic" w:hAnsi="MS Gothic"/>
                  </w:rPr>
                  <w:t>x</w:t>
                </w:r>
                <w:r w:rsidR="00D70502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A4F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A4F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A4F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A4F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A4F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A60" w:rsidRDefault="00EF4A60" w:rsidP="00864926">
      <w:pPr>
        <w:spacing w:after="0" w:line="240" w:lineRule="auto"/>
      </w:pPr>
      <w:r>
        <w:separator/>
      </w:r>
    </w:p>
  </w:endnote>
  <w:endnote w:type="continuationSeparator" w:id="1">
    <w:p w:rsidR="00EF4A60" w:rsidRDefault="00EF4A6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A60" w:rsidRDefault="00EF4A60" w:rsidP="00864926">
      <w:pPr>
        <w:spacing w:after="0" w:line="240" w:lineRule="auto"/>
      </w:pPr>
      <w:r>
        <w:separator/>
      </w:r>
    </w:p>
  </w:footnote>
  <w:footnote w:type="continuationSeparator" w:id="1">
    <w:p w:rsidR="00EF4A60" w:rsidRDefault="00EF4A6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06244D3"/>
    <w:multiLevelType w:val="hybridMultilevel"/>
    <w:tmpl w:val="1112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44A6C"/>
    <w:multiLevelType w:val="hybridMultilevel"/>
    <w:tmpl w:val="C5F86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2595"/>
    <w:rsid w:val="001D3BF1"/>
    <w:rsid w:val="001D64D3"/>
    <w:rsid w:val="001F14FA"/>
    <w:rsid w:val="001F60E3"/>
    <w:rsid w:val="002319B6"/>
    <w:rsid w:val="002369FD"/>
    <w:rsid w:val="00256F3F"/>
    <w:rsid w:val="00315601"/>
    <w:rsid w:val="00323176"/>
    <w:rsid w:val="003700EE"/>
    <w:rsid w:val="003B32A9"/>
    <w:rsid w:val="003C177A"/>
    <w:rsid w:val="003E4799"/>
    <w:rsid w:val="003E6F24"/>
    <w:rsid w:val="00406F80"/>
    <w:rsid w:val="00431EFA"/>
    <w:rsid w:val="00493925"/>
    <w:rsid w:val="004D1C7E"/>
    <w:rsid w:val="004E562D"/>
    <w:rsid w:val="00585B5D"/>
    <w:rsid w:val="005A5D38"/>
    <w:rsid w:val="005B0885"/>
    <w:rsid w:val="005B64BF"/>
    <w:rsid w:val="005D46D7"/>
    <w:rsid w:val="00603117"/>
    <w:rsid w:val="0069043C"/>
    <w:rsid w:val="006C4618"/>
    <w:rsid w:val="006D2E26"/>
    <w:rsid w:val="006E40AE"/>
    <w:rsid w:val="006F647C"/>
    <w:rsid w:val="00783AED"/>
    <w:rsid w:val="00783C57"/>
    <w:rsid w:val="00792CB4"/>
    <w:rsid w:val="007A4FCF"/>
    <w:rsid w:val="007B1CD3"/>
    <w:rsid w:val="00834774"/>
    <w:rsid w:val="00864926"/>
    <w:rsid w:val="008A30CE"/>
    <w:rsid w:val="008B1D6B"/>
    <w:rsid w:val="008C31B7"/>
    <w:rsid w:val="00911529"/>
    <w:rsid w:val="00932B21"/>
    <w:rsid w:val="00972302"/>
    <w:rsid w:val="009906EA"/>
    <w:rsid w:val="009A11B4"/>
    <w:rsid w:val="009D3F5E"/>
    <w:rsid w:val="009E5FA8"/>
    <w:rsid w:val="009F3F9F"/>
    <w:rsid w:val="00A10286"/>
    <w:rsid w:val="00A1335D"/>
    <w:rsid w:val="00AF47A6"/>
    <w:rsid w:val="00B34206"/>
    <w:rsid w:val="00B370E0"/>
    <w:rsid w:val="00B50491"/>
    <w:rsid w:val="00B54668"/>
    <w:rsid w:val="00B9521A"/>
    <w:rsid w:val="00BA2088"/>
    <w:rsid w:val="00BD079E"/>
    <w:rsid w:val="00BD3504"/>
    <w:rsid w:val="00BF3AC8"/>
    <w:rsid w:val="00C63234"/>
    <w:rsid w:val="00CA6D81"/>
    <w:rsid w:val="00CC23C3"/>
    <w:rsid w:val="00CD17F1"/>
    <w:rsid w:val="00D70502"/>
    <w:rsid w:val="00D92F39"/>
    <w:rsid w:val="00DB43CC"/>
    <w:rsid w:val="00E1222F"/>
    <w:rsid w:val="00E47B95"/>
    <w:rsid w:val="00E5013A"/>
    <w:rsid w:val="00E56105"/>
    <w:rsid w:val="00E60599"/>
    <w:rsid w:val="00E71946"/>
    <w:rsid w:val="00E71A0B"/>
    <w:rsid w:val="00E8188A"/>
    <w:rsid w:val="00E857F8"/>
    <w:rsid w:val="00E908D3"/>
    <w:rsid w:val="00EA7E0C"/>
    <w:rsid w:val="00EC53EE"/>
    <w:rsid w:val="00EE7846"/>
    <w:rsid w:val="00EF4A60"/>
    <w:rsid w:val="00F06AFA"/>
    <w:rsid w:val="00F237EB"/>
    <w:rsid w:val="00F56373"/>
    <w:rsid w:val="00F7192C"/>
    <w:rsid w:val="00F742D3"/>
    <w:rsid w:val="00FC25BE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fault">
    <w:name w:val="Default"/>
    <w:rsid w:val="00BD07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4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9</cp:revision>
  <cp:lastPrinted>2015-12-23T11:47:00Z</cp:lastPrinted>
  <dcterms:created xsi:type="dcterms:W3CDTF">2016-03-31T12:58:00Z</dcterms:created>
  <dcterms:modified xsi:type="dcterms:W3CDTF">2016-04-08T09:20:00Z</dcterms:modified>
</cp:coreProperties>
</file>