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C57A46" w:rsidRDefault="00E71A0B" w:rsidP="00E71A0B">
      <w:pPr>
        <w:spacing w:after="0"/>
        <w:ind w:left="1089"/>
        <w:rPr>
          <w:rFonts w:ascii="Candara" w:hAnsi="Candara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57A46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57A4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A46">
              <w:rPr>
                <w:rFonts w:ascii="Candara" w:hAnsi="Candara"/>
                <w:b/>
                <w:sz w:val="22"/>
                <w:szCs w:val="22"/>
              </w:rPr>
              <w:t xml:space="preserve">                         UNIVERSITY OF NIŠ</w:t>
            </w:r>
          </w:p>
          <w:p w:rsidR="006E40AE" w:rsidRPr="00C57A46" w:rsidRDefault="006E40AE" w:rsidP="00406F80">
            <w:pPr>
              <w:spacing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</w:p>
        </w:tc>
      </w:tr>
      <w:tr w:rsidR="00CD17F1" w:rsidRPr="00C57A46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162F3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24"/>
                <w:szCs w:val="24"/>
              </w:rPr>
            </w:pPr>
            <w:r w:rsidRPr="003162F3">
              <w:rPr>
                <w:rFonts w:ascii="Candara" w:hAnsi="Candara"/>
                <w:b/>
                <w:sz w:val="24"/>
                <w:szCs w:val="24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162F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24"/>
                <w:szCs w:val="24"/>
              </w:rPr>
            </w:pPr>
            <w:r w:rsidRPr="003162F3">
              <w:rPr>
                <w:rFonts w:ascii="Candara" w:hAnsi="Candara"/>
                <w:b/>
                <w:sz w:val="24"/>
                <w:szCs w:val="24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162F3" w:rsidRDefault="00BA401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162F3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C57A46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57A4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GENERAL INFORMATION</w:t>
            </w:r>
          </w:p>
        </w:tc>
      </w:tr>
      <w:tr w:rsidR="00864926" w:rsidRPr="00C57A46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57A4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13C64" w:rsidRDefault="00613C64" w:rsidP="00613C64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C57A4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57A4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57A46" w:rsidRDefault="00DC3848" w:rsidP="003162F3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International Law </w:t>
            </w:r>
          </w:p>
        </w:tc>
      </w:tr>
      <w:tr w:rsidR="00B50491" w:rsidRPr="00C57A4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57A4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13C64" w:rsidRDefault="00C04E3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613C64">
              <w:rPr>
                <w:rFonts w:ascii="Candara" w:hAnsi="Candara"/>
                <w:b/>
                <w:sz w:val="22"/>
                <w:szCs w:val="22"/>
              </w:rPr>
              <w:t>Private International Law of International Organizations</w:t>
            </w:r>
          </w:p>
        </w:tc>
      </w:tr>
      <w:tr w:rsidR="006F647C" w:rsidRPr="00C57A4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57A4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57A46" w:rsidRDefault="00FE1436" w:rsidP="00613C64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503286888"/>
              </w:sdtPr>
              <w:sdtContent>
                <w:r w:rsidR="001D3BF1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013A" w:rsidRPr="00C57A46">
              <w:rPr>
                <w:rFonts w:ascii="Candara" w:hAnsi="Candara"/>
                <w:sz w:val="22"/>
                <w:szCs w:val="22"/>
              </w:rPr>
              <w:t xml:space="preserve">Bachelor         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2074409764"/>
              </w:sdtPr>
              <w:sdtContent>
                <w:r w:rsidR="00E5013A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013A" w:rsidRPr="00C57A46">
              <w:rPr>
                <w:rFonts w:ascii="Candara" w:hAnsi="Candara"/>
                <w:sz w:val="22"/>
                <w:szCs w:val="22"/>
              </w:rPr>
              <w:t xml:space="preserve"> Master’s             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-848254186"/>
              </w:sdtPr>
              <w:sdtContent>
                <w:r w:rsidR="00613C6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sym w:font="Wingdings" w:char="F078"/>
                </w:r>
              </w:sdtContent>
            </w:sdt>
            <w:r w:rsidR="00E5013A" w:rsidRPr="00C57A46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E5013A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>Doctoral</w:t>
            </w:r>
          </w:p>
        </w:tc>
      </w:tr>
      <w:tr w:rsidR="00CD17F1" w:rsidRPr="00C57A46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57A4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57A46" w:rsidRDefault="00FE1436" w:rsidP="00613C64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485128928"/>
              </w:sdtPr>
              <w:sdtContent>
                <w:r w:rsidR="0069043C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43C" w:rsidRPr="00C57A46">
              <w:rPr>
                <w:rFonts w:ascii="Candara" w:hAnsi="Candara"/>
                <w:sz w:val="22"/>
                <w:szCs w:val="22"/>
              </w:rPr>
              <w:t xml:space="preserve"> Obligatory</w:t>
            </w: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-1038746228"/>
              </w:sdtPr>
              <w:sdtContent>
                <w:r w:rsidR="00C04E33" w:rsidRPr="00C57A46">
                  <w:rPr>
                    <w:rFonts w:ascii="Candara" w:hAnsi="Candara"/>
                    <w:b/>
                    <w:sz w:val="22"/>
                    <w:szCs w:val="22"/>
                  </w:rPr>
                  <w:t xml:space="preserve">   </w:t>
                </w:r>
                <w:r w:rsidR="00613C6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sym w:font="Wingdings" w:char="F078"/>
                </w:r>
              </w:sdtContent>
            </w:sdt>
            <w:r w:rsidR="00406F80" w:rsidRPr="00C57A46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406F80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>Elective</w:t>
            </w:r>
          </w:p>
        </w:tc>
      </w:tr>
      <w:tr w:rsidR="00864926" w:rsidRPr="00C57A46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57A4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sz w:val="22"/>
                <w:szCs w:val="22"/>
                <w:lang w:val="en-US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57A46" w:rsidRDefault="00FE1436" w:rsidP="00613C6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ndara" w:hAnsi="Candara" w:cs="Arial"/>
                  <w:b/>
                  <w:sz w:val="22"/>
                  <w:szCs w:val="22"/>
                  <w:u w:val="single"/>
                  <w:lang w:val="en-US"/>
                </w:rPr>
                <w:id w:val="-2002492403"/>
              </w:sdtPr>
              <w:sdtContent>
                <w:r w:rsidR="00613C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u w:val="single"/>
                    <w:lang w:val="en-US"/>
                  </w:rPr>
                  <w:sym w:font="Wingdings" w:char="F078"/>
                </w:r>
              </w:sdtContent>
            </w:sdt>
            <w:r w:rsidR="0069043C" w:rsidRPr="00C57A46">
              <w:rPr>
                <w:rFonts w:ascii="Candara" w:hAnsi="Candara" w:cs="Arial"/>
                <w:b/>
                <w:sz w:val="22"/>
                <w:szCs w:val="22"/>
                <w:u w:val="single"/>
                <w:lang w:val="en-US"/>
              </w:rPr>
              <w:t xml:space="preserve"> Autumn</w:t>
            </w:r>
            <w:r w:rsidR="0069043C" w:rsidRPr="00C57A46">
              <w:rPr>
                <w:rFonts w:ascii="Candara" w:hAnsi="Candara" w:cs="Arial"/>
                <w:sz w:val="22"/>
                <w:szCs w:val="22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sz w:val="22"/>
                  <w:szCs w:val="22"/>
                  <w:lang w:val="en-US"/>
                </w:rPr>
                <w:id w:val="706989797"/>
              </w:sdtPr>
              <w:sdtContent>
                <w:r w:rsidR="0069043C" w:rsidRPr="00C57A46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9043C" w:rsidRPr="00C57A46">
              <w:rPr>
                <w:rFonts w:ascii="Candara" w:hAnsi="Candara" w:cs="Arial"/>
                <w:sz w:val="22"/>
                <w:szCs w:val="22"/>
                <w:lang w:val="en-US"/>
              </w:rPr>
              <w:t>Spring</w:t>
            </w:r>
          </w:p>
        </w:tc>
      </w:tr>
      <w:tr w:rsidR="00864926" w:rsidRPr="00C57A4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57A4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57A46" w:rsidRDefault="00C04E3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2</w:t>
            </w:r>
            <w:r w:rsidRPr="00C57A46">
              <w:rPr>
                <w:rFonts w:ascii="Candara" w:hAnsi="Candara"/>
                <w:sz w:val="22"/>
                <w:szCs w:val="22"/>
                <w:vertAlign w:val="superscript"/>
              </w:rPr>
              <w:t>nd</w:t>
            </w:r>
            <w:r w:rsidRPr="00C57A46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13C64" w:rsidRPr="00613C64">
              <w:rPr>
                <w:rFonts w:ascii="Candara" w:hAnsi="Candara"/>
                <w:color w:val="000000" w:themeColor="text1"/>
              </w:rPr>
              <w:t>year of doctoral studies</w:t>
            </w:r>
          </w:p>
        </w:tc>
      </w:tr>
      <w:tr w:rsidR="00A1335D" w:rsidRPr="00C57A4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57A4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57A4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</w:p>
        </w:tc>
      </w:tr>
      <w:tr w:rsidR="00E857F8" w:rsidRPr="00C57A46" w:rsidTr="00C04E33">
        <w:trPr>
          <w:trHeight w:val="68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57A4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57A46" w:rsidRDefault="00C04E3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Prof</w:t>
            </w:r>
            <w:r w:rsidR="00613C64">
              <w:rPr>
                <w:rFonts w:ascii="Candara" w:hAnsi="Candara"/>
                <w:sz w:val="22"/>
                <w:szCs w:val="22"/>
              </w:rPr>
              <w:t>.</w:t>
            </w:r>
            <w:r w:rsidRPr="00C57A46">
              <w:rPr>
                <w:rFonts w:ascii="Candara" w:hAnsi="Candara"/>
                <w:sz w:val="22"/>
                <w:szCs w:val="22"/>
              </w:rPr>
              <w:t xml:space="preserve"> Mirko </w:t>
            </w:r>
            <w:proofErr w:type="spellStart"/>
            <w:r w:rsidRPr="00C57A46">
              <w:rPr>
                <w:rFonts w:ascii="Candara" w:hAnsi="Candara"/>
                <w:sz w:val="22"/>
                <w:szCs w:val="22"/>
              </w:rPr>
              <w:t>Živković</w:t>
            </w:r>
            <w:proofErr w:type="spellEnd"/>
            <w:r w:rsidR="00613C64">
              <w:rPr>
                <w:rFonts w:ascii="Candara" w:hAnsi="Candara"/>
                <w:sz w:val="22"/>
                <w:szCs w:val="22"/>
              </w:rPr>
              <w:t>, LL.D.</w:t>
            </w:r>
          </w:p>
          <w:p w:rsidR="00C04E33" w:rsidRPr="00C57A46" w:rsidRDefault="00C04E33" w:rsidP="00613C64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C57A46">
              <w:rPr>
                <w:rFonts w:ascii="Candara" w:hAnsi="Candara"/>
                <w:sz w:val="22"/>
                <w:szCs w:val="22"/>
              </w:rPr>
              <w:t>Ass</w:t>
            </w:r>
            <w:r w:rsidR="00613C64">
              <w:rPr>
                <w:rFonts w:ascii="Candara" w:hAnsi="Candara"/>
                <w:sz w:val="22"/>
                <w:szCs w:val="22"/>
              </w:rPr>
              <w:t>t.</w:t>
            </w:r>
            <w:r w:rsidRPr="00C57A46">
              <w:rPr>
                <w:rFonts w:ascii="Candara" w:hAnsi="Candara"/>
                <w:sz w:val="22"/>
                <w:szCs w:val="22"/>
              </w:rPr>
              <w:t>Prof</w:t>
            </w:r>
            <w:proofErr w:type="spellEnd"/>
            <w:r w:rsidR="00613C64">
              <w:rPr>
                <w:rFonts w:ascii="Candara" w:hAnsi="Candara"/>
                <w:sz w:val="22"/>
                <w:szCs w:val="22"/>
              </w:rPr>
              <w:t>.</w:t>
            </w:r>
            <w:r w:rsidRPr="00C57A46">
              <w:rPr>
                <w:rFonts w:ascii="Candara" w:hAnsi="Candara"/>
                <w:sz w:val="22"/>
                <w:szCs w:val="22"/>
              </w:rPr>
              <w:t xml:space="preserve"> Sanja </w:t>
            </w:r>
            <w:proofErr w:type="spellStart"/>
            <w:r w:rsidRPr="00C57A46">
              <w:rPr>
                <w:rFonts w:ascii="Candara" w:hAnsi="Candara"/>
                <w:sz w:val="22"/>
                <w:szCs w:val="22"/>
              </w:rPr>
              <w:t>Marjanović</w:t>
            </w:r>
            <w:proofErr w:type="spellEnd"/>
            <w:r w:rsidR="00613C64">
              <w:rPr>
                <w:rFonts w:ascii="Candara" w:hAnsi="Candara"/>
                <w:sz w:val="22"/>
                <w:szCs w:val="22"/>
              </w:rPr>
              <w:t>, LL.D.</w:t>
            </w:r>
          </w:p>
        </w:tc>
      </w:tr>
      <w:tr w:rsidR="00B50491" w:rsidRPr="00C57A46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57A4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C57A46">
              <w:rPr>
                <w:rFonts w:ascii="Candara" w:hAnsi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57A46" w:rsidRDefault="00FE1436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1185278396"/>
              </w:sdtPr>
              <w:sdtContent>
                <w:r w:rsidR="00613C64">
                  <w:rPr>
                    <w:rFonts w:ascii="MS Gothic" w:eastAsia="MS Gothic" w:hAnsi="MS Gothic" w:hint="eastAsia"/>
                    <w:sz w:val="22"/>
                    <w:szCs w:val="22"/>
                  </w:rPr>
                  <w:sym w:font="Wingdings" w:char="F078"/>
                </w:r>
              </w:sdtContent>
            </w:sdt>
            <w:r w:rsidR="00603117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Lectures   </w:t>
            </w:r>
            <w:r w:rsidR="00603117" w:rsidRPr="00C57A46">
              <w:rPr>
                <w:rFonts w:ascii="Candara" w:hAnsi="Candara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544222395"/>
              </w:sdtPr>
              <w:sdtContent>
                <w:r w:rsidR="00603117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57A46">
              <w:rPr>
                <w:rFonts w:ascii="Candara" w:hAnsi="Candara"/>
                <w:sz w:val="22"/>
                <w:szCs w:val="22"/>
              </w:rPr>
              <w:t xml:space="preserve">Group tutorials   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2022922688"/>
              </w:sdtPr>
              <w:sdtContent>
                <w:r w:rsidR="00613C64">
                  <w:rPr>
                    <w:rFonts w:ascii="MS Gothic" w:eastAsia="MS Gothic" w:hAnsi="MS Gothic" w:hint="eastAsia"/>
                    <w:sz w:val="22"/>
                    <w:szCs w:val="22"/>
                  </w:rPr>
                  <w:sym w:font="Wingdings" w:char="F078"/>
                </w:r>
              </w:sdtContent>
            </w:sdt>
            <w:r w:rsidR="00603117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 Individual tutorials</w:t>
            </w:r>
          </w:p>
          <w:p w:rsidR="00603117" w:rsidRPr="00C57A46" w:rsidRDefault="00FE1436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770861310"/>
              </w:sdtPr>
              <w:sdtContent>
                <w:r w:rsidR="00603117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57A46">
              <w:rPr>
                <w:rFonts w:ascii="Candara" w:hAnsi="Candara"/>
                <w:sz w:val="22"/>
                <w:szCs w:val="22"/>
              </w:rPr>
              <w:t xml:space="preserve">Laboratory work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358537906"/>
              </w:sdtPr>
              <w:sdtContent>
                <w:r w:rsidR="00603117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57A46">
              <w:rPr>
                <w:rFonts w:ascii="Candara" w:hAnsi="Candara"/>
                <w:sz w:val="22"/>
                <w:szCs w:val="22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  <w:u w:val="single"/>
                </w:rPr>
                <w:id w:val="-365140939"/>
              </w:sdtPr>
              <w:sdtContent>
                <w:r w:rsidR="00613C64">
                  <w:rPr>
                    <w:rFonts w:ascii="MS Gothic" w:eastAsia="MS Gothic" w:hAnsi="MS Gothic" w:hint="eastAsia"/>
                    <w:b/>
                    <w:sz w:val="22"/>
                    <w:szCs w:val="22"/>
                    <w:u w:val="single"/>
                  </w:rPr>
                  <w:sym w:font="Wingdings" w:char="F078"/>
                </w:r>
              </w:sdtContent>
            </w:sdt>
            <w:r w:rsidR="00603117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  Seminar</w:t>
            </w:r>
          </w:p>
          <w:p w:rsidR="00603117" w:rsidRPr="00C57A46" w:rsidRDefault="00FE1436" w:rsidP="003B32A9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-1536580725"/>
              </w:sdtPr>
              <w:sdtContent>
                <w:r w:rsidR="003B32A9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57A46">
              <w:rPr>
                <w:rFonts w:ascii="Candara" w:hAnsi="Candara"/>
                <w:sz w:val="22"/>
                <w:szCs w:val="22"/>
              </w:rPr>
              <w:t xml:space="preserve">Distance learning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543446048"/>
              </w:sdtPr>
              <w:sdtContent>
                <w:r w:rsidR="003B32A9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57A46">
              <w:rPr>
                <w:rFonts w:ascii="Candara" w:hAnsi="Candara"/>
                <w:sz w:val="22"/>
                <w:szCs w:val="22"/>
              </w:rPr>
              <w:t xml:space="preserve"> Blended learning    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89722728"/>
              </w:sdtPr>
              <w:sdtContent>
                <w:r w:rsidR="003B32A9" w:rsidRPr="00C57A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3117" w:rsidRPr="00C57A46">
              <w:rPr>
                <w:rFonts w:ascii="Candara" w:hAnsi="Candara"/>
                <w:sz w:val="22"/>
                <w:szCs w:val="22"/>
              </w:rPr>
              <w:t xml:space="preserve">  Other</w:t>
            </w:r>
          </w:p>
        </w:tc>
      </w:tr>
      <w:tr w:rsidR="00911529" w:rsidRPr="00C57A4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57A4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 xml:space="preserve">PURPOSE AND OVERVIEW </w:t>
            </w:r>
            <w:r w:rsidR="00B54668" w:rsidRPr="00C57A46">
              <w:rPr>
                <w:rFonts w:ascii="Candara" w:hAnsi="Candara"/>
                <w:b/>
                <w:sz w:val="22"/>
                <w:szCs w:val="22"/>
              </w:rPr>
              <w:t>(max</w:t>
            </w:r>
            <w:r w:rsidR="00B50491" w:rsidRPr="00C57A46">
              <w:rPr>
                <w:rFonts w:ascii="Candara" w:hAnsi="Candara"/>
                <w:b/>
                <w:sz w:val="22"/>
                <w:szCs w:val="22"/>
              </w:rPr>
              <w:t>.</w:t>
            </w:r>
            <w:r w:rsidR="00B54668" w:rsidRPr="00C57A46">
              <w:rPr>
                <w:rFonts w:ascii="Candara" w:hAnsi="Candara"/>
                <w:b/>
                <w:sz w:val="22"/>
                <w:szCs w:val="22"/>
              </w:rPr>
              <w:t xml:space="preserve"> 5</w:t>
            </w:r>
            <w:r w:rsidR="00B50491" w:rsidRPr="00C57A46">
              <w:rPr>
                <w:rFonts w:ascii="Candara" w:hAnsi="Candara"/>
                <w:b/>
                <w:sz w:val="22"/>
                <w:szCs w:val="22"/>
              </w:rPr>
              <w:t xml:space="preserve"> sentences</w:t>
            </w:r>
            <w:r w:rsidR="00B54668" w:rsidRPr="00C57A46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</w:tr>
      <w:tr w:rsidR="00911529" w:rsidRPr="00C57A46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13C64" w:rsidRDefault="00C04E33" w:rsidP="00613C64">
            <w:pPr>
              <w:spacing w:line="240" w:lineRule="auto"/>
              <w:contextualSpacing/>
              <w:rPr>
                <w:rFonts w:ascii="Candara" w:hAnsi="Candara"/>
                <w:i/>
                <w:sz w:val="22"/>
                <w:szCs w:val="22"/>
              </w:rPr>
            </w:pP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This course should give opportunity to students to understand the significance of the </w:t>
            </w:r>
            <w:r w:rsidR="00F14B1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international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treaties as the legal source of Private International Law (PIL)</w:t>
            </w:r>
            <w:r w:rsidR="00613C6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, b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earing in mind that </w:t>
            </w:r>
            <w:r w:rsidR="00613C6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an 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increasing number of </w:t>
            </w:r>
            <w:r w:rsidR="00613C6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international treaties 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enable the unification of PIL (to some extent) bridging the national differences in terms of international jurisdiction, applicable law, </w:t>
            </w:r>
            <w:r w:rsidR="00F14B1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recognition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and enforcement of foreign decisions. </w:t>
            </w:r>
            <w:r w:rsidR="00613C6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The course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613C6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focuses on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strengthening of the in</w:t>
            </w:r>
            <w:r w:rsidR="00F14B1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ternational aspects of PIL as w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e</w:t>
            </w:r>
            <w:r w:rsidR="00F14B1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l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l as international cooperation between different States, leading to the unification or harmo</w:t>
            </w:r>
            <w:r w:rsidR="00F14B1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ni</w:t>
            </w: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zation of PIL rules.</w:t>
            </w:r>
          </w:p>
        </w:tc>
      </w:tr>
      <w:tr w:rsidR="00E857F8" w:rsidRPr="00C57A46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57A4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SYLLABUS (</w:t>
            </w:r>
            <w:r w:rsidR="00B50491" w:rsidRPr="00C57A46">
              <w:rPr>
                <w:rFonts w:ascii="Candara" w:hAnsi="Candara"/>
                <w:b/>
                <w:sz w:val="22"/>
                <w:szCs w:val="22"/>
              </w:rPr>
              <w:t xml:space="preserve">brief </w:t>
            </w:r>
            <w:r w:rsidRPr="00C57A46">
              <w:rPr>
                <w:rFonts w:ascii="Candara" w:hAnsi="Candara"/>
                <w:b/>
                <w:sz w:val="22"/>
                <w:szCs w:val="22"/>
              </w:rPr>
              <w:t>outline and summary of topics</w:t>
            </w:r>
            <w:r w:rsidR="00B50491" w:rsidRPr="00C57A46">
              <w:rPr>
                <w:rFonts w:ascii="Candara" w:hAnsi="Candara"/>
                <w:b/>
                <w:sz w:val="22"/>
                <w:szCs w:val="22"/>
              </w:rPr>
              <w:t>, max. 10 sentenc</w:t>
            </w:r>
            <w:r w:rsidR="001D3BF1" w:rsidRPr="00C57A46">
              <w:rPr>
                <w:rFonts w:ascii="Candara" w:hAnsi="Candara"/>
                <w:b/>
                <w:sz w:val="22"/>
                <w:szCs w:val="22"/>
              </w:rPr>
              <w:t>e</w:t>
            </w:r>
            <w:r w:rsidR="00B50491" w:rsidRPr="00C57A46">
              <w:rPr>
                <w:rFonts w:ascii="Candara" w:hAnsi="Candara"/>
                <w:b/>
                <w:sz w:val="22"/>
                <w:szCs w:val="22"/>
              </w:rPr>
              <w:t>s</w:t>
            </w:r>
            <w:r w:rsidRPr="00C57A46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</w:tr>
      <w:tr w:rsidR="00B54668" w:rsidRPr="00C57A4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13C64" w:rsidRDefault="00C57A46" w:rsidP="00613C6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The course </w:t>
            </w:r>
            <w:r w:rsidR="00613C6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includes the</w:t>
            </w:r>
            <w:r w:rsidR="003D3F1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following topics: </w:t>
            </w:r>
            <w:r w:rsidR="00613C6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B</w:t>
            </w:r>
            <w:r w:rsidR="003D3F14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>ilateral and multilateral international treaties as instruments of unification of General and Special Part of P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>IL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 L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>egal sources of PIL of International Organizations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</w:t>
            </w:r>
            <w:r w:rsidR="00CA0FFC" w:rsidRPr="00613C64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3D3F14" w:rsidRPr="00613C64">
              <w:rPr>
                <w:rStyle w:val="shorttext"/>
                <w:rFonts w:ascii="Times New Roman" w:hAnsi="Times New Roman"/>
                <w:sz w:val="22"/>
                <w:szCs w:val="22"/>
              </w:rPr>
              <w:t>Hierarchy of legal sources</w:t>
            </w:r>
            <w:r w:rsidR="00613C64" w:rsidRPr="00613C64">
              <w:rPr>
                <w:rStyle w:val="shorttext"/>
                <w:rFonts w:ascii="Times New Roman" w:hAnsi="Times New Roman"/>
                <w:sz w:val="22"/>
                <w:szCs w:val="22"/>
              </w:rPr>
              <w:t>.</w:t>
            </w:r>
            <w:r w:rsidR="00CA0FFC" w:rsidRPr="00613C64">
              <w:rPr>
                <w:rStyle w:val="shorttext"/>
                <w:rFonts w:ascii="Times New Roman" w:hAnsi="Times New Roman"/>
                <w:sz w:val="22"/>
                <w:szCs w:val="22"/>
              </w:rPr>
              <w:t xml:space="preserve"> 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 xml:space="preserve">Duty to apply and to know 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>the international legal sources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 xml:space="preserve"> Process of unification of PIL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 xml:space="preserve"> Unification process of PIL wit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>hin the Hague Conference on PIL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>Unificati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>on process of PIL within the EU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 xml:space="preserve"> Process of unification of PIL within other regional organizations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 xml:space="preserve"> Unification/harmonization 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>of PIL within UNIDROIT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lastRenderedPageBreak/>
              <w:t>Unification/harmoniza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>tion of PIL within UNCITRAL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 xml:space="preserve"> Council of Europe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>, UN, WIPO, CIEC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.</w:t>
            </w:r>
            <w:r w:rsidR="00AA4BE3" w:rsidRPr="00613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3C64" w:rsidRPr="00613C64">
              <w:rPr>
                <w:rFonts w:ascii="Times New Roman" w:hAnsi="Times New Roman"/>
                <w:sz w:val="22"/>
                <w:szCs w:val="22"/>
              </w:rPr>
              <w:t>B</w:t>
            </w:r>
            <w:r w:rsidR="00AA4BE3" w:rsidRPr="00613C64">
              <w:rPr>
                <w:rFonts w:ascii="Times New Roman" w:hAnsi="Times New Roman"/>
                <w:sz w:val="22"/>
                <w:szCs w:val="22"/>
              </w:rPr>
              <w:t>ilateral treaties on legal ai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>d in civil matters;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3C64">
              <w:rPr>
                <w:rFonts w:ascii="Times New Roman" w:hAnsi="Times New Roman"/>
                <w:sz w:val="22"/>
                <w:szCs w:val="22"/>
              </w:rPr>
              <w:t>b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>ilateral treaties on recognition and enf</w:t>
            </w:r>
            <w:r w:rsidR="00CA0FFC" w:rsidRPr="00613C64">
              <w:rPr>
                <w:rFonts w:ascii="Times New Roman" w:hAnsi="Times New Roman"/>
                <w:sz w:val="22"/>
                <w:szCs w:val="22"/>
              </w:rPr>
              <w:t>orcement of foreign decisions;</w:t>
            </w:r>
            <w:r w:rsidRPr="00613C64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3D3F14" w:rsidRPr="00613C64">
              <w:rPr>
                <w:rFonts w:ascii="Times New Roman" w:hAnsi="Times New Roman"/>
                <w:sz w:val="22"/>
                <w:szCs w:val="22"/>
              </w:rPr>
              <w:t>ilateral treaties on trade/ sailing and the consular convention</w:t>
            </w:r>
            <w:r w:rsidR="00613C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3BF1" w:rsidRPr="00C57A46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57A4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lastRenderedPageBreak/>
              <w:t>LANGUAGE OF INSTRUCTION</w:t>
            </w:r>
          </w:p>
        </w:tc>
      </w:tr>
      <w:tr w:rsidR="001D3BF1" w:rsidRPr="00C57A4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57A46" w:rsidRDefault="00FE14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  <w:sdt>
              <w:sdtPr>
                <w:rPr>
                  <w:rFonts w:ascii="Candara" w:hAnsi="Candara"/>
                  <w:sz w:val="22"/>
                  <w:szCs w:val="22"/>
                </w:rPr>
                <w:id w:val="99386002"/>
              </w:sdtPr>
              <w:sdtContent>
                <w:r w:rsidR="00613C64">
                  <w:rPr>
                    <w:rFonts w:ascii="MS Gothic" w:eastAsia="MS Gothic" w:hAnsi="MS Gothic" w:hint="eastAsia"/>
                    <w:sz w:val="22"/>
                    <w:szCs w:val="22"/>
                  </w:rPr>
                  <w:sym w:font="Wingdings" w:char="F078"/>
                </w:r>
              </w:sdtContent>
            </w:sdt>
            <w:r w:rsidR="00E1222F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  <w:u w:val="single"/>
                </w:rPr>
                <w:id w:val="-630790345"/>
              </w:sdtPr>
              <w:sdtContent>
                <w:r w:rsidR="00E47B95" w:rsidRPr="00C57A46">
                  <w:rPr>
                    <w:rFonts w:ascii="MS Gothic" w:eastAsia="MS Gothic" w:hAnsi="MS Gothic" w:hint="eastAsia"/>
                    <w:b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1222F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 English (complete course)</w:t>
            </w:r>
            <w:r w:rsidR="00E1222F" w:rsidRPr="00C57A46">
              <w:rPr>
                <w:rFonts w:ascii="Candara" w:hAnsi="Candara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  <w:u w:val="single"/>
                </w:rPr>
                <w:id w:val="-280118853"/>
              </w:sdtPr>
              <w:sdtContent>
                <w:r w:rsidR="00E47B95" w:rsidRPr="006E5BE9">
                  <w:rPr>
                    <w:rFonts w:ascii="MS Gothic" w:eastAsia="MS Gothic" w:hAnsi="MS Gothic" w:hint="eastAsia"/>
                    <w:b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BA4010" w:rsidRPr="006E5BE9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 </w:t>
            </w:r>
            <w:r w:rsidR="00E1222F" w:rsidRPr="006E5BE9">
              <w:rPr>
                <w:rFonts w:ascii="Candara" w:hAnsi="Candara"/>
                <w:b/>
                <w:sz w:val="22"/>
                <w:szCs w:val="22"/>
                <w:u w:val="single"/>
              </w:rPr>
              <w:t xml:space="preserve"> </w:t>
            </w:r>
            <w:r w:rsidR="001137A2" w:rsidRPr="006E5BE9">
              <w:rPr>
                <w:rFonts w:ascii="Candara" w:hAnsi="Candara"/>
                <w:b/>
                <w:sz w:val="22"/>
                <w:szCs w:val="22"/>
                <w:u w:val="single"/>
              </w:rPr>
              <w:t>French/German</w:t>
            </w:r>
            <w:r w:rsidR="00E1222F" w:rsidRPr="00C57A46">
              <w:rPr>
                <w:rFonts w:ascii="Candara" w:hAnsi="Candara"/>
                <w:sz w:val="22"/>
                <w:szCs w:val="22"/>
              </w:rPr>
              <w:t xml:space="preserve"> (complete course)</w:t>
            </w:r>
          </w:p>
          <w:p w:rsidR="00E47B95" w:rsidRPr="00C57A4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</w:p>
          <w:p w:rsidR="00E1222F" w:rsidRPr="00C57A46" w:rsidRDefault="00FE14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1289546108"/>
              </w:sdtPr>
              <w:sdtContent>
                <w:r w:rsidR="00E47B95" w:rsidRPr="00C57A4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1222F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>Serbian with English mentoring</w:t>
            </w:r>
            <w:r w:rsidR="00E1222F" w:rsidRPr="00C57A46">
              <w:rPr>
                <w:rFonts w:ascii="Candara" w:hAnsi="Candara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Candara" w:hAnsi="Candara"/>
                  <w:b/>
                  <w:sz w:val="22"/>
                  <w:szCs w:val="22"/>
                </w:rPr>
                <w:id w:val="1096984069"/>
              </w:sdtPr>
              <w:sdtContent>
                <w:r w:rsidR="00E47B95" w:rsidRPr="00C57A4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1222F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>Serbian with other mentoring _____</w:t>
            </w:r>
            <w:r w:rsidR="002C4DF4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>French/German</w:t>
            </w:r>
            <w:r w:rsidR="00E1222F" w:rsidRPr="00C57A46">
              <w:rPr>
                <w:rFonts w:ascii="Candara" w:hAnsi="Candara"/>
                <w:b/>
                <w:sz w:val="22"/>
                <w:szCs w:val="22"/>
                <w:u w:val="single"/>
              </w:rPr>
              <w:t>_________</w:t>
            </w:r>
          </w:p>
          <w:p w:rsidR="00E47B95" w:rsidRPr="00C57A4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B54668" w:rsidRPr="00C57A46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57A4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ASSESSMENT METHODS AND CRITERIA</w:t>
            </w:r>
          </w:p>
        </w:tc>
      </w:tr>
      <w:tr w:rsidR="001F14FA" w:rsidRPr="00C57A4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points</w:t>
            </w:r>
          </w:p>
        </w:tc>
      </w:tr>
      <w:tr w:rsidR="001F14FA" w:rsidRPr="00C57A4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57A46" w:rsidRDefault="00756B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1F14FA" w:rsidRPr="00C57A4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57A46" w:rsidRDefault="00756B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57A46" w:rsidRDefault="00756B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50</w:t>
            </w:r>
          </w:p>
        </w:tc>
      </w:tr>
      <w:tr w:rsidR="001F14FA" w:rsidRPr="00C57A46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57A46" w:rsidRDefault="00756B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57A4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100</w:t>
            </w:r>
          </w:p>
        </w:tc>
      </w:tr>
      <w:tr w:rsidR="001F14FA" w:rsidRPr="00C57A46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57A4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C57A46">
              <w:rPr>
                <w:rFonts w:ascii="Candara" w:hAnsi="Candara"/>
                <w:b/>
                <w:sz w:val="22"/>
                <w:szCs w:val="22"/>
              </w:rPr>
              <w:t>*</w:t>
            </w:r>
            <w:r w:rsidR="001F14FA" w:rsidRPr="00C57A46">
              <w:rPr>
                <w:rFonts w:ascii="Candara" w:hAnsi="Candara"/>
                <w:b/>
                <w:sz w:val="22"/>
                <w:szCs w:val="22"/>
              </w:rPr>
              <w:t xml:space="preserve">Final </w:t>
            </w:r>
            <w:r w:rsidRPr="00C57A46">
              <w:rPr>
                <w:rFonts w:ascii="Candara" w:hAnsi="Candara"/>
                <w:b/>
                <w:sz w:val="22"/>
                <w:szCs w:val="22"/>
              </w:rPr>
              <w:t>examination mark is formed in accordance with the Institutional documents</w:t>
            </w:r>
          </w:p>
        </w:tc>
      </w:tr>
    </w:tbl>
    <w:p w:rsidR="00E60599" w:rsidRPr="00C57A46" w:rsidRDefault="00E60599" w:rsidP="00E71A0B">
      <w:pPr>
        <w:ind w:left="1089"/>
        <w:rPr>
          <w:sz w:val="22"/>
          <w:szCs w:val="22"/>
        </w:rPr>
      </w:pPr>
    </w:p>
    <w:p w:rsidR="00E60599" w:rsidRPr="00C57A46" w:rsidRDefault="00E60599" w:rsidP="00E71A0B">
      <w:pPr>
        <w:ind w:left="1089"/>
        <w:rPr>
          <w:sz w:val="22"/>
          <w:szCs w:val="22"/>
        </w:rPr>
      </w:pPr>
    </w:p>
    <w:p w:rsidR="001F14FA" w:rsidRPr="00C57A46" w:rsidRDefault="001F14FA" w:rsidP="00E71A0B">
      <w:pPr>
        <w:ind w:left="1089"/>
        <w:rPr>
          <w:sz w:val="22"/>
          <w:szCs w:val="22"/>
        </w:rPr>
      </w:pPr>
    </w:p>
    <w:sectPr w:rsidR="001F14FA" w:rsidRPr="00C57A4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07" w:rsidRDefault="00AC0407" w:rsidP="00864926">
      <w:pPr>
        <w:spacing w:after="0" w:line="240" w:lineRule="auto"/>
      </w:pPr>
      <w:r>
        <w:separator/>
      </w:r>
    </w:p>
  </w:endnote>
  <w:endnote w:type="continuationSeparator" w:id="0">
    <w:p w:rsidR="00AC0407" w:rsidRDefault="00AC040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07" w:rsidRDefault="00AC0407" w:rsidP="00864926">
      <w:pPr>
        <w:spacing w:after="0" w:line="240" w:lineRule="auto"/>
      </w:pPr>
      <w:r>
        <w:separator/>
      </w:r>
    </w:p>
  </w:footnote>
  <w:footnote w:type="continuationSeparator" w:id="0">
    <w:p w:rsidR="00AC0407" w:rsidRDefault="00AC040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A21D8"/>
    <w:rsid w:val="000F6001"/>
    <w:rsid w:val="001137A2"/>
    <w:rsid w:val="001D3BF1"/>
    <w:rsid w:val="001D64D3"/>
    <w:rsid w:val="001F14FA"/>
    <w:rsid w:val="001F60E3"/>
    <w:rsid w:val="002319B6"/>
    <w:rsid w:val="002A61CA"/>
    <w:rsid w:val="002C4DF4"/>
    <w:rsid w:val="002D2CE0"/>
    <w:rsid w:val="00315601"/>
    <w:rsid w:val="003162F3"/>
    <w:rsid w:val="00323176"/>
    <w:rsid w:val="003B32A9"/>
    <w:rsid w:val="003C177A"/>
    <w:rsid w:val="003D3F14"/>
    <w:rsid w:val="00406F80"/>
    <w:rsid w:val="00431EFA"/>
    <w:rsid w:val="00493925"/>
    <w:rsid w:val="004B329A"/>
    <w:rsid w:val="004D1C7E"/>
    <w:rsid w:val="004E3A78"/>
    <w:rsid w:val="004E562D"/>
    <w:rsid w:val="005A5D38"/>
    <w:rsid w:val="005B0885"/>
    <w:rsid w:val="005B64BF"/>
    <w:rsid w:val="005C151C"/>
    <w:rsid w:val="005D46D7"/>
    <w:rsid w:val="00603117"/>
    <w:rsid w:val="00613C64"/>
    <w:rsid w:val="0069043C"/>
    <w:rsid w:val="006910E8"/>
    <w:rsid w:val="006C76D0"/>
    <w:rsid w:val="006E40AE"/>
    <w:rsid w:val="006E5BE9"/>
    <w:rsid w:val="006F647C"/>
    <w:rsid w:val="006F7D1E"/>
    <w:rsid w:val="00756B79"/>
    <w:rsid w:val="00780F8C"/>
    <w:rsid w:val="00783C57"/>
    <w:rsid w:val="00786663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91D95"/>
    <w:rsid w:val="009D3F5E"/>
    <w:rsid w:val="009F3F9F"/>
    <w:rsid w:val="009F5BE3"/>
    <w:rsid w:val="00A10286"/>
    <w:rsid w:val="00A1335D"/>
    <w:rsid w:val="00AA4BE3"/>
    <w:rsid w:val="00AC0407"/>
    <w:rsid w:val="00AF47A6"/>
    <w:rsid w:val="00B50491"/>
    <w:rsid w:val="00B54668"/>
    <w:rsid w:val="00B56404"/>
    <w:rsid w:val="00B9521A"/>
    <w:rsid w:val="00BA4010"/>
    <w:rsid w:val="00BD3504"/>
    <w:rsid w:val="00C04E33"/>
    <w:rsid w:val="00C57A46"/>
    <w:rsid w:val="00C63234"/>
    <w:rsid w:val="00CA0FFC"/>
    <w:rsid w:val="00CA6D81"/>
    <w:rsid w:val="00CC23C3"/>
    <w:rsid w:val="00CD17F1"/>
    <w:rsid w:val="00D92F39"/>
    <w:rsid w:val="00DB3ED2"/>
    <w:rsid w:val="00DB43CC"/>
    <w:rsid w:val="00DC3848"/>
    <w:rsid w:val="00E1222F"/>
    <w:rsid w:val="00E47B95"/>
    <w:rsid w:val="00E5013A"/>
    <w:rsid w:val="00E60599"/>
    <w:rsid w:val="00E71A0B"/>
    <w:rsid w:val="00E8188A"/>
    <w:rsid w:val="00E857F8"/>
    <w:rsid w:val="00E865CF"/>
    <w:rsid w:val="00EA7E0C"/>
    <w:rsid w:val="00EC53EE"/>
    <w:rsid w:val="00F06AFA"/>
    <w:rsid w:val="00F14B14"/>
    <w:rsid w:val="00F237EB"/>
    <w:rsid w:val="00F56373"/>
    <w:rsid w:val="00F66169"/>
    <w:rsid w:val="00F742D3"/>
    <w:rsid w:val="00FE143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04E33"/>
    <w:pPr>
      <w:ind w:left="720"/>
      <w:contextualSpacing/>
    </w:pPr>
  </w:style>
  <w:style w:type="character" w:customStyle="1" w:styleId="shorttext">
    <w:name w:val="short_text"/>
    <w:basedOn w:val="DefaultParagraphFont"/>
    <w:rsid w:val="003D3F14"/>
  </w:style>
  <w:style w:type="paragraph" w:styleId="BodyTextIndent3">
    <w:name w:val="Body Text Indent 3"/>
    <w:basedOn w:val="Normal"/>
    <w:link w:val="BodyTextIndent3Char"/>
    <w:rsid w:val="003D3F14"/>
    <w:pPr>
      <w:suppressAutoHyphens w:val="0"/>
      <w:spacing w:after="0" w:line="240" w:lineRule="auto"/>
      <w:ind w:firstLine="720"/>
      <w:jc w:val="left"/>
    </w:pPr>
    <w:rPr>
      <w:rFonts w:ascii="Times New Roman" w:hAnsi="Times New Roman"/>
      <w:sz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D3F14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4B2B-7D5A-4AAD-9FDA-70CFE8AF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2016-06-07T06:44:00Z</dcterms:created>
  <dcterms:modified xsi:type="dcterms:W3CDTF">2016-06-09T14:11:00Z</dcterms:modified>
</cp:coreProperties>
</file>