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B6707E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B6707E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B6707E">
            <w:pPr>
              <w:spacing w:before="100" w:after="10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64F58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A64F58">
              <w:rPr>
                <w:rFonts w:ascii="Candara" w:hAnsi="Candara"/>
              </w:rPr>
              <w:t>Reliability of Mechanical Systems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D536E7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536E7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D536E7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536E7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536E7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536E7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536E7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64F58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Mil</w:t>
            </w:r>
            <w:r>
              <w:rPr>
                <w:rFonts w:ascii="Candara" w:hAnsi="Candara"/>
                <w:lang/>
              </w:rPr>
              <w:t xml:space="preserve">čić, </w:t>
            </w:r>
            <w:proofErr w:type="spellStart"/>
            <w:r w:rsidR="00E17FC5">
              <w:rPr>
                <w:rFonts w:ascii="Candara" w:hAnsi="Candara"/>
              </w:rPr>
              <w:t>Miroslav</w:t>
            </w:r>
            <w:proofErr w:type="spellEnd"/>
            <w:r w:rsidR="00E17FC5">
              <w:rPr>
                <w:rFonts w:ascii="Candara" w:hAnsi="Candara"/>
              </w:rPr>
              <w:t xml:space="preserve"> M. </w:t>
            </w:r>
            <w:proofErr w:type="spellStart"/>
            <w:r w:rsidR="00E17FC5">
              <w:rPr>
                <w:rFonts w:ascii="Candara" w:hAnsi="Candara"/>
              </w:rPr>
              <w:t>Mijajlović</w:t>
            </w:r>
            <w:proofErr w:type="spellEnd"/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536E7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536E7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D536E7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536E7" w:rsidP="00A64F58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536E7" w:rsidP="00A64F58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536E7" w:rsidP="00A64F58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536E7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536E7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536E7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911529" w:rsidRPr="00B54668" w:rsidRDefault="005878C7" w:rsidP="005878C7">
            <w:pPr>
              <w:spacing w:before="100" w:after="100" w:line="240" w:lineRule="auto"/>
              <w:ind w:left="57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students get the</w:t>
            </w:r>
            <w:r w:rsidRPr="005878C7">
              <w:rPr>
                <w:rFonts w:ascii="Candara" w:hAnsi="Candara"/>
                <w:i/>
              </w:rPr>
              <w:t xml:space="preserve"> knowledge </w:t>
            </w:r>
            <w:r>
              <w:rPr>
                <w:rFonts w:ascii="Candara" w:hAnsi="Candara"/>
                <w:i/>
              </w:rPr>
              <w:t>about</w:t>
            </w:r>
            <w:r w:rsidRPr="005878C7">
              <w:rPr>
                <w:rFonts w:ascii="Candara" w:hAnsi="Candara"/>
                <w:i/>
              </w:rPr>
              <w:t xml:space="preserve"> the reliability of mechanical systems and </w:t>
            </w:r>
            <w:r>
              <w:rPr>
                <w:rFonts w:ascii="Candara" w:hAnsi="Candara"/>
                <w:i/>
              </w:rPr>
              <w:t>recognize</w:t>
            </w:r>
            <w:r w:rsidRPr="005878C7">
              <w:rPr>
                <w:rFonts w:ascii="Candara" w:hAnsi="Candara"/>
                <w:i/>
              </w:rPr>
              <w:t xml:space="preserve"> practical application of that knowledge in </w:t>
            </w:r>
            <w:r>
              <w:rPr>
                <w:rFonts w:ascii="Candara" w:hAnsi="Candara"/>
                <w:i/>
              </w:rPr>
              <w:t>the mechanical engineering tasks</w:t>
            </w:r>
            <w:r w:rsidRPr="005878C7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B53C9D">
            <w:pPr>
              <w:tabs>
                <w:tab w:val="left" w:pos="360"/>
              </w:tabs>
              <w:spacing w:before="100" w:after="100" w:line="240" w:lineRule="auto"/>
              <w:ind w:left="57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B53C9D">
              <w:rPr>
                <w:rFonts w:ascii="Candara" w:hAnsi="Candara"/>
              </w:rPr>
              <w:t>Introduction into the reliability theory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="00B53C9D">
              <w:rPr>
                <w:rFonts w:ascii="Candara" w:hAnsi="Candara"/>
              </w:rPr>
              <w:t>Basic terms of statistics and probability theory</w:t>
            </w:r>
            <w:r>
              <w:rPr>
                <w:rFonts w:ascii="Candara" w:hAnsi="Candara"/>
              </w:rPr>
              <w:t xml:space="preserve">, 3) </w:t>
            </w:r>
            <w:r w:rsidR="00B53C9D">
              <w:rPr>
                <w:rFonts w:ascii="Candara" w:hAnsi="Candara"/>
              </w:rPr>
              <w:t>Mathematical models of failures (failure distribution, probability plots)</w:t>
            </w:r>
            <w:r>
              <w:rPr>
                <w:rFonts w:ascii="Candara" w:hAnsi="Candara"/>
              </w:rPr>
              <w:t xml:space="preserve">, 4) </w:t>
            </w:r>
            <w:r w:rsidR="00B53C9D">
              <w:rPr>
                <w:rFonts w:ascii="Candara" w:hAnsi="Candara"/>
              </w:rPr>
              <w:t>Investigation and analysis of reliability</w:t>
            </w:r>
            <w:r>
              <w:rPr>
                <w:rFonts w:ascii="Candara" w:hAnsi="Candara"/>
              </w:rPr>
              <w:t xml:space="preserve">, 5) </w:t>
            </w:r>
            <w:r w:rsidR="00B53C9D">
              <w:rPr>
                <w:rFonts w:ascii="Candara" w:hAnsi="Candara"/>
              </w:rPr>
              <w:t>Reliability of the system</w:t>
            </w:r>
            <w:r>
              <w:rPr>
                <w:rFonts w:ascii="Candara" w:hAnsi="Candara"/>
              </w:rPr>
              <w:t xml:space="preserve">, 6) </w:t>
            </w:r>
            <w:r w:rsidR="00B53C9D">
              <w:rPr>
                <w:rFonts w:ascii="Candara" w:hAnsi="Candara"/>
              </w:rPr>
              <w:t>Reliability based design</w:t>
            </w:r>
            <w:r w:rsidR="00E76D77">
              <w:rPr>
                <w:rFonts w:ascii="Candara" w:hAnsi="Candara"/>
              </w:rPr>
              <w:t>.</w:t>
            </w:r>
          </w:p>
        </w:tc>
      </w:tr>
      <w:tr w:rsidR="001D3BF1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536E7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536E7" w:rsidP="00A64F58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536E7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536E7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536E7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A64F58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64F58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A64F58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64F58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B6707E" w:rsidRDefault="001F14FA" w:rsidP="00B6707E">
      <w:pPr>
        <w:spacing w:before="80" w:after="80"/>
        <w:ind w:left="1089"/>
        <w:rPr>
          <w:sz w:val="2"/>
          <w:szCs w:val="2"/>
        </w:rPr>
      </w:pPr>
    </w:p>
    <w:sectPr w:rsidR="001F14FA" w:rsidRPr="00B6707E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B4" w:rsidRDefault="00E710B4" w:rsidP="00864926">
      <w:pPr>
        <w:spacing w:after="0" w:line="240" w:lineRule="auto"/>
      </w:pPr>
      <w:r>
        <w:separator/>
      </w:r>
    </w:p>
  </w:endnote>
  <w:endnote w:type="continuationSeparator" w:id="0">
    <w:p w:rsidR="00E710B4" w:rsidRDefault="00E710B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B4" w:rsidRDefault="00E710B4" w:rsidP="00864926">
      <w:pPr>
        <w:spacing w:after="0" w:line="240" w:lineRule="auto"/>
      </w:pPr>
      <w:r>
        <w:separator/>
      </w:r>
    </w:p>
  </w:footnote>
  <w:footnote w:type="continuationSeparator" w:id="0">
    <w:p w:rsidR="00E710B4" w:rsidRDefault="00E710B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1A06"/>
    <w:rsid w:val="00033AAA"/>
    <w:rsid w:val="000460D0"/>
    <w:rsid w:val="0008591A"/>
    <w:rsid w:val="00090B78"/>
    <w:rsid w:val="000D6BAB"/>
    <w:rsid w:val="000E4AF2"/>
    <w:rsid w:val="000F6001"/>
    <w:rsid w:val="000F7CD3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43F"/>
    <w:rsid w:val="004D1C7E"/>
    <w:rsid w:val="004E562D"/>
    <w:rsid w:val="005671B3"/>
    <w:rsid w:val="005878C7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4CC1"/>
    <w:rsid w:val="006E40AE"/>
    <w:rsid w:val="006F647C"/>
    <w:rsid w:val="007140AA"/>
    <w:rsid w:val="00783C57"/>
    <w:rsid w:val="00792CB4"/>
    <w:rsid w:val="00860979"/>
    <w:rsid w:val="00864926"/>
    <w:rsid w:val="008A30CE"/>
    <w:rsid w:val="008B1D6B"/>
    <w:rsid w:val="008C31B7"/>
    <w:rsid w:val="008D39C3"/>
    <w:rsid w:val="008E636A"/>
    <w:rsid w:val="00906F4B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64F58"/>
    <w:rsid w:val="00AE77BE"/>
    <w:rsid w:val="00AF47A6"/>
    <w:rsid w:val="00B2692B"/>
    <w:rsid w:val="00B50491"/>
    <w:rsid w:val="00B53C9D"/>
    <w:rsid w:val="00B54668"/>
    <w:rsid w:val="00B6707E"/>
    <w:rsid w:val="00B9521A"/>
    <w:rsid w:val="00BA6985"/>
    <w:rsid w:val="00BD3504"/>
    <w:rsid w:val="00BF0C9E"/>
    <w:rsid w:val="00C0099F"/>
    <w:rsid w:val="00C63234"/>
    <w:rsid w:val="00C63851"/>
    <w:rsid w:val="00C84815"/>
    <w:rsid w:val="00CA6D81"/>
    <w:rsid w:val="00CC23C3"/>
    <w:rsid w:val="00CD17F1"/>
    <w:rsid w:val="00CE60AF"/>
    <w:rsid w:val="00D4378D"/>
    <w:rsid w:val="00D536E7"/>
    <w:rsid w:val="00D92F39"/>
    <w:rsid w:val="00DB43CC"/>
    <w:rsid w:val="00DB43E0"/>
    <w:rsid w:val="00E1222F"/>
    <w:rsid w:val="00E17FC5"/>
    <w:rsid w:val="00E47B95"/>
    <w:rsid w:val="00E5013A"/>
    <w:rsid w:val="00E60599"/>
    <w:rsid w:val="00E710B4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3CCA7-6184-401B-AC83-AF60ECF8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miki</cp:lastModifiedBy>
  <cp:revision>5</cp:revision>
  <cp:lastPrinted>2015-12-23T11:47:00Z</cp:lastPrinted>
  <dcterms:created xsi:type="dcterms:W3CDTF">2016-03-24T21:05:00Z</dcterms:created>
  <dcterms:modified xsi:type="dcterms:W3CDTF">2016-03-24T21:17:00Z</dcterms:modified>
</cp:coreProperties>
</file>