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B6707E">
        <w:trPr>
          <w:cantSplit/>
          <w:trHeight w:val="20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B6707E">
        <w:trPr>
          <w:cantSplit/>
          <w:trHeight w:val="20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B6707E">
            <w:pPr>
              <w:spacing w:before="100" w:after="100" w:line="240" w:lineRule="auto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Welding Technology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B2692B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140AA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B6707E">
        <w:trPr>
          <w:cantSplit/>
          <w:trHeight w:val="20"/>
        </w:trPr>
        <w:tc>
          <w:tcPr>
            <w:tcW w:w="1430" w:type="pct"/>
            <w:vAlign w:val="center"/>
          </w:tcPr>
          <w:p w:rsidR="00590B22" w:rsidRPr="00B54668" w:rsidRDefault="00590B22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0D6BAB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E17FC5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0D6BAB" w:rsidP="00B6707E">
            <w:pPr>
              <w:suppressAutoHyphens w:val="0"/>
              <w:spacing w:before="100" w:after="100" w:line="240" w:lineRule="auto"/>
              <w:ind w:left="57"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590B22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IV</w:t>
            </w:r>
          </w:p>
        </w:tc>
      </w:tr>
      <w:tr w:rsidR="00A1335D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Miroslav M. </w:t>
            </w:r>
            <w:proofErr w:type="spellStart"/>
            <w:r>
              <w:rPr>
                <w:rFonts w:ascii="Candara" w:hAnsi="Candara"/>
              </w:rPr>
              <w:t>Mijajlović</w:t>
            </w:r>
            <w:proofErr w:type="spellEnd"/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B6707E">
        <w:trPr>
          <w:cantSplit/>
          <w:trHeight w:val="2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0D6BAB" w:rsidP="00B6707E">
            <w:pPr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B6707E">
            <w:pPr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B6707E">
        <w:trPr>
          <w:cantSplit/>
          <w:trHeight w:val="20"/>
        </w:trPr>
        <w:tc>
          <w:tcPr>
            <w:tcW w:w="5000" w:type="pct"/>
            <w:gridSpan w:val="9"/>
            <w:vAlign w:val="center"/>
          </w:tcPr>
          <w:p w:rsidR="00911529" w:rsidRPr="00B54668" w:rsidRDefault="0099779A" w:rsidP="00B6707E">
            <w:pPr>
              <w:spacing w:before="100" w:after="100" w:line="240" w:lineRule="auto"/>
              <w:ind w:left="57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Introduce students to the basics of welding technology, conventional and non-conventional welding processes, selection of the appropriate welding process and process parameters concerning different welding positions, joint types and base materials. The course is </w:t>
            </w:r>
            <w:r w:rsidR="00FE207D">
              <w:rPr>
                <w:rFonts w:ascii="Candara" w:hAnsi="Candara"/>
                <w:i/>
              </w:rPr>
              <w:t>targeting</w:t>
            </w:r>
            <w:r>
              <w:rPr>
                <w:rFonts w:ascii="Candara" w:hAnsi="Candara"/>
                <w:i/>
              </w:rPr>
              <w:t xml:space="preserve"> both </w:t>
            </w:r>
            <w:r w:rsidR="00FE207D">
              <w:rPr>
                <w:rFonts w:ascii="Candara" w:hAnsi="Candara"/>
                <w:i/>
              </w:rPr>
              <w:t xml:space="preserve">the </w:t>
            </w:r>
            <w:r>
              <w:rPr>
                <w:rFonts w:ascii="Candara" w:hAnsi="Candara"/>
                <w:i/>
              </w:rPr>
              <w:t>theoretical and practical aspects of the welding technology.</w:t>
            </w:r>
          </w:p>
        </w:tc>
      </w:tr>
      <w:tr w:rsidR="00E857F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B6707E">
            <w:pPr>
              <w:tabs>
                <w:tab w:val="left" w:pos="360"/>
              </w:tabs>
              <w:spacing w:before="100" w:after="100" w:line="240" w:lineRule="auto"/>
              <w:ind w:left="57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Pr="002B5A71">
              <w:t xml:space="preserve"> </w:t>
            </w:r>
            <w:r w:rsidRPr="002B5A71">
              <w:rPr>
                <w:rFonts w:ascii="Candara" w:hAnsi="Candara"/>
              </w:rPr>
              <w:t>General introduction to welding technology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Pr="002B5A71">
              <w:rPr>
                <w:rFonts w:ascii="Candara" w:hAnsi="Candara"/>
              </w:rPr>
              <w:t xml:space="preserve">Oxy-gas </w:t>
            </w:r>
            <w:r w:rsidR="007140AA">
              <w:rPr>
                <w:rFonts w:ascii="Candara" w:hAnsi="Candara"/>
              </w:rPr>
              <w:t>w</w:t>
            </w:r>
            <w:r w:rsidRPr="002B5A71">
              <w:rPr>
                <w:rFonts w:ascii="Candara" w:hAnsi="Candara"/>
              </w:rPr>
              <w:t>elding and related processes</w:t>
            </w:r>
            <w:r>
              <w:rPr>
                <w:rFonts w:ascii="Candara" w:hAnsi="Candara"/>
              </w:rPr>
              <w:t xml:space="preserve">, 3) </w:t>
            </w:r>
            <w:r w:rsidR="007140AA">
              <w:rPr>
                <w:rFonts w:ascii="Candara" w:hAnsi="Candara"/>
              </w:rPr>
              <w:t>Electrics- review</w:t>
            </w:r>
            <w:r>
              <w:rPr>
                <w:rFonts w:ascii="Candara" w:hAnsi="Candara"/>
              </w:rPr>
              <w:t xml:space="preserve">, 4) The </w:t>
            </w:r>
            <w:r w:rsidR="007140AA">
              <w:rPr>
                <w:rFonts w:ascii="Candara" w:hAnsi="Candara"/>
              </w:rPr>
              <w:t>a</w:t>
            </w:r>
            <w:r>
              <w:rPr>
                <w:rFonts w:ascii="Candara" w:hAnsi="Candara"/>
              </w:rPr>
              <w:t xml:space="preserve">rc, 5) </w:t>
            </w:r>
            <w:r w:rsidRPr="002B5A71">
              <w:rPr>
                <w:rFonts w:ascii="Candara" w:hAnsi="Candara"/>
              </w:rPr>
              <w:t>Power sources for arc welding</w:t>
            </w:r>
            <w:r>
              <w:rPr>
                <w:rFonts w:ascii="Candara" w:hAnsi="Candara"/>
              </w:rPr>
              <w:t xml:space="preserve">, 6) </w:t>
            </w:r>
            <w:r w:rsidRPr="002B5A71">
              <w:rPr>
                <w:rFonts w:ascii="Candara" w:hAnsi="Candara"/>
              </w:rPr>
              <w:t>Introduction to gas shielded arc welding</w:t>
            </w:r>
            <w:r>
              <w:rPr>
                <w:rFonts w:ascii="Candara" w:hAnsi="Candara"/>
              </w:rPr>
              <w:t xml:space="preserve">, 7) </w:t>
            </w:r>
            <w:r w:rsidRPr="002B5A71">
              <w:rPr>
                <w:rFonts w:ascii="Candara" w:hAnsi="Candara"/>
              </w:rPr>
              <w:t xml:space="preserve">TIG </w:t>
            </w:r>
            <w:r w:rsidR="007140AA">
              <w:rPr>
                <w:rFonts w:ascii="Candara" w:hAnsi="Candara"/>
              </w:rPr>
              <w:t>w</w:t>
            </w:r>
            <w:r w:rsidRPr="002B5A71">
              <w:rPr>
                <w:rFonts w:ascii="Candara" w:hAnsi="Candara"/>
              </w:rPr>
              <w:t>elding</w:t>
            </w:r>
            <w:r>
              <w:rPr>
                <w:rFonts w:ascii="Candara" w:hAnsi="Candara"/>
              </w:rPr>
              <w:t xml:space="preserve">, 8) </w:t>
            </w:r>
            <w:r w:rsidR="0008591A">
              <w:rPr>
                <w:rFonts w:ascii="Candara" w:hAnsi="Candara"/>
              </w:rPr>
              <w:t>MIG/MAG</w:t>
            </w:r>
            <w:r w:rsidRPr="002B5A71">
              <w:rPr>
                <w:rFonts w:ascii="Candara" w:hAnsi="Candara"/>
              </w:rPr>
              <w:t xml:space="preserve"> </w:t>
            </w:r>
            <w:r w:rsidR="007140AA">
              <w:rPr>
                <w:rFonts w:ascii="Candara" w:hAnsi="Candara"/>
              </w:rPr>
              <w:t>w</w:t>
            </w:r>
            <w:r w:rsidRPr="002B5A71">
              <w:rPr>
                <w:rFonts w:ascii="Candara" w:hAnsi="Candara"/>
              </w:rPr>
              <w:t>elding</w:t>
            </w:r>
            <w:r>
              <w:rPr>
                <w:rFonts w:ascii="Candara" w:hAnsi="Candara"/>
              </w:rPr>
              <w:t xml:space="preserve">, 9) </w:t>
            </w:r>
            <w:r w:rsidRPr="002B5A71">
              <w:rPr>
                <w:rFonts w:ascii="Candara" w:hAnsi="Candara"/>
              </w:rPr>
              <w:t xml:space="preserve">Submerged-Arc </w:t>
            </w:r>
            <w:r w:rsidR="007140AA">
              <w:rPr>
                <w:rFonts w:ascii="Candara" w:hAnsi="Candara"/>
              </w:rPr>
              <w:t>w</w:t>
            </w:r>
            <w:r w:rsidRPr="002B5A71">
              <w:rPr>
                <w:rFonts w:ascii="Candara" w:hAnsi="Candara"/>
              </w:rPr>
              <w:t>elding</w:t>
            </w:r>
            <w:r>
              <w:rPr>
                <w:rFonts w:ascii="Candara" w:hAnsi="Candara"/>
              </w:rPr>
              <w:t xml:space="preserve">, 10) </w:t>
            </w:r>
            <w:r w:rsidRPr="002B5A71">
              <w:rPr>
                <w:rFonts w:ascii="Candara" w:hAnsi="Candara"/>
              </w:rPr>
              <w:t xml:space="preserve">MMA </w:t>
            </w:r>
            <w:r w:rsidR="007140AA">
              <w:rPr>
                <w:rFonts w:ascii="Candara" w:hAnsi="Candara"/>
              </w:rPr>
              <w:t>w</w:t>
            </w:r>
            <w:r w:rsidRPr="002B5A71">
              <w:rPr>
                <w:rFonts w:ascii="Candara" w:hAnsi="Candara"/>
              </w:rPr>
              <w:t>elding</w:t>
            </w:r>
            <w:r>
              <w:rPr>
                <w:rFonts w:ascii="Candara" w:hAnsi="Candara"/>
              </w:rPr>
              <w:t xml:space="preserve">, 11) Other (non-conventional) </w:t>
            </w:r>
            <w:r w:rsidR="00E76D77">
              <w:rPr>
                <w:rFonts w:ascii="Candara" w:hAnsi="Candara"/>
              </w:rPr>
              <w:t>welding p</w:t>
            </w:r>
            <w:r>
              <w:rPr>
                <w:rFonts w:ascii="Candara" w:hAnsi="Candara"/>
              </w:rPr>
              <w:t xml:space="preserve">rocesses: Laser, Electron Beam, Ultrasonic, Explosion, Diffusion, Resistance, Friction Welding etc, 12) </w:t>
            </w:r>
            <w:r w:rsidR="00E76D77" w:rsidRPr="00E76D77">
              <w:rPr>
                <w:rFonts w:ascii="Candara" w:hAnsi="Candara"/>
              </w:rPr>
              <w:t xml:space="preserve">Cutting, </w:t>
            </w:r>
            <w:r w:rsidR="007140AA">
              <w:rPr>
                <w:rFonts w:ascii="Candara" w:hAnsi="Candara"/>
              </w:rPr>
              <w:t>d</w:t>
            </w:r>
            <w:r w:rsidR="00E76D77" w:rsidRPr="00E76D77">
              <w:rPr>
                <w:rFonts w:ascii="Candara" w:hAnsi="Candara"/>
              </w:rPr>
              <w:t>rilling and other edge preparation processes</w:t>
            </w:r>
            <w:r w:rsidR="00E76D77">
              <w:rPr>
                <w:rFonts w:ascii="Candara" w:hAnsi="Candara"/>
              </w:rPr>
              <w:t>.</w:t>
            </w:r>
          </w:p>
        </w:tc>
      </w:tr>
      <w:tr w:rsidR="001D3BF1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D6BAB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0D6BAB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0D6BAB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B6707E">
        <w:trPr>
          <w:cantSplit/>
          <w:trHeight w:val="20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0D6BAB" w:rsidP="00B6707E">
            <w:pPr>
              <w:tabs>
                <w:tab w:val="left" w:pos="360"/>
              </w:tabs>
              <w:spacing w:before="100" w:after="10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0D6BAB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B6707E">
            <w:pPr>
              <w:tabs>
                <w:tab w:val="left" w:pos="360"/>
              </w:tabs>
              <w:spacing w:before="100" w:after="10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B6707E">
        <w:trPr>
          <w:cantSplit/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B6707E">
            <w:pPr>
              <w:tabs>
                <w:tab w:val="left" w:pos="360"/>
              </w:tabs>
              <w:spacing w:before="100" w:after="10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Pr="00B6707E" w:rsidRDefault="001F14FA" w:rsidP="00B6707E">
      <w:pPr>
        <w:spacing w:before="80" w:after="80"/>
        <w:ind w:left="1089"/>
        <w:rPr>
          <w:sz w:val="2"/>
          <w:szCs w:val="2"/>
        </w:rPr>
      </w:pPr>
    </w:p>
    <w:sectPr w:rsidR="001F14FA" w:rsidRPr="00B6707E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6A" w:rsidRDefault="008E636A" w:rsidP="00864926">
      <w:pPr>
        <w:spacing w:after="0" w:line="240" w:lineRule="auto"/>
      </w:pPr>
      <w:r>
        <w:separator/>
      </w:r>
    </w:p>
  </w:endnote>
  <w:endnote w:type="continuationSeparator" w:id="0">
    <w:p w:rsidR="008E636A" w:rsidRDefault="008E636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6A" w:rsidRDefault="008E636A" w:rsidP="00864926">
      <w:pPr>
        <w:spacing w:after="0" w:line="240" w:lineRule="auto"/>
      </w:pPr>
      <w:r>
        <w:separator/>
      </w:r>
    </w:p>
  </w:footnote>
  <w:footnote w:type="continuationSeparator" w:id="0">
    <w:p w:rsidR="008E636A" w:rsidRDefault="008E636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1A06"/>
    <w:rsid w:val="00033AAA"/>
    <w:rsid w:val="000460D0"/>
    <w:rsid w:val="0008591A"/>
    <w:rsid w:val="00090B78"/>
    <w:rsid w:val="000D6BAB"/>
    <w:rsid w:val="000E4AF2"/>
    <w:rsid w:val="000F6001"/>
    <w:rsid w:val="000F7CD3"/>
    <w:rsid w:val="001D3BF1"/>
    <w:rsid w:val="001D64D3"/>
    <w:rsid w:val="001F14FA"/>
    <w:rsid w:val="001F60E3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D1C7E"/>
    <w:rsid w:val="004E562D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4CC1"/>
    <w:rsid w:val="006E40AE"/>
    <w:rsid w:val="006F647C"/>
    <w:rsid w:val="007140AA"/>
    <w:rsid w:val="00783C57"/>
    <w:rsid w:val="00792CB4"/>
    <w:rsid w:val="00860979"/>
    <w:rsid w:val="00864926"/>
    <w:rsid w:val="008A30CE"/>
    <w:rsid w:val="008B1D6B"/>
    <w:rsid w:val="008C31B7"/>
    <w:rsid w:val="008D39C3"/>
    <w:rsid w:val="008E636A"/>
    <w:rsid w:val="00911529"/>
    <w:rsid w:val="00932B21"/>
    <w:rsid w:val="00971E55"/>
    <w:rsid w:val="00972302"/>
    <w:rsid w:val="009906EA"/>
    <w:rsid w:val="0099779A"/>
    <w:rsid w:val="009D3F5E"/>
    <w:rsid w:val="009F3F9F"/>
    <w:rsid w:val="00A10286"/>
    <w:rsid w:val="00A1335D"/>
    <w:rsid w:val="00AE77BE"/>
    <w:rsid w:val="00AF47A6"/>
    <w:rsid w:val="00B2692B"/>
    <w:rsid w:val="00B50491"/>
    <w:rsid w:val="00B54668"/>
    <w:rsid w:val="00B6707E"/>
    <w:rsid w:val="00B9521A"/>
    <w:rsid w:val="00BA6985"/>
    <w:rsid w:val="00BD3504"/>
    <w:rsid w:val="00BF0C9E"/>
    <w:rsid w:val="00C0099F"/>
    <w:rsid w:val="00C63234"/>
    <w:rsid w:val="00C63851"/>
    <w:rsid w:val="00CA6D81"/>
    <w:rsid w:val="00CC23C3"/>
    <w:rsid w:val="00CD17F1"/>
    <w:rsid w:val="00CE60AF"/>
    <w:rsid w:val="00D4378D"/>
    <w:rsid w:val="00D92F39"/>
    <w:rsid w:val="00DB43CC"/>
    <w:rsid w:val="00DB43E0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85E62-479D-4DAD-A2FD-E5366917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miki</cp:lastModifiedBy>
  <cp:revision>12</cp:revision>
  <cp:lastPrinted>2015-12-23T11:47:00Z</cp:lastPrinted>
  <dcterms:created xsi:type="dcterms:W3CDTF">2016-03-24T08:56:00Z</dcterms:created>
  <dcterms:modified xsi:type="dcterms:W3CDTF">2016-03-24T21:03:00Z</dcterms:modified>
</cp:coreProperties>
</file>