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92"/>
        <w:gridCol w:w="709"/>
        <w:gridCol w:w="585"/>
        <w:gridCol w:w="265"/>
        <w:gridCol w:w="586"/>
        <w:gridCol w:w="2143"/>
        <w:gridCol w:w="3060"/>
      </w:tblGrid>
      <w:tr w:rsidR="00A23B3C" w:rsidRPr="001B2A8A">
        <w:trPr>
          <w:trHeight w:val="1105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B3C" w:rsidRPr="001B2A8A" w:rsidRDefault="001B2A8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B2A8A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A8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       UNIVERSITY OF </w:t>
            </w:r>
            <w:proofErr w:type="spellStart"/>
            <w:r w:rsidRPr="001B2A8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A23B3C" w:rsidRPr="001B2A8A" w:rsidRDefault="00A23B3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A23B3C" w:rsidRPr="001B2A8A">
        <w:trPr>
          <w:trHeight w:val="487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3B3C" w:rsidRPr="001B2A8A" w:rsidRDefault="001B2A8A" w:rsidP="001B2A8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B2A8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3B3C" w:rsidRPr="001B2A8A" w:rsidRDefault="001B2A8A" w:rsidP="001B2A8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B2A8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3B3C" w:rsidRPr="001B2A8A" w:rsidRDefault="001B2A8A" w:rsidP="001B2A8A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1B2A8A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A23B3C" w:rsidRPr="001B2A8A">
        <w:trPr>
          <w:trHeight w:val="26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23B3C" w:rsidRPr="001B2A8A" w:rsidRDefault="001B2A8A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23B3C" w:rsidRPr="001B2A8A">
        <w:trPr>
          <w:trHeight w:val="279"/>
        </w:trPr>
        <w:tc>
          <w:tcPr>
            <w:tcW w:w="4386" w:type="dxa"/>
            <w:gridSpan w:val="3"/>
            <w:shd w:val="clear" w:color="auto" w:fill="auto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lang w:val="en-US"/>
              </w:rPr>
            </w:pPr>
            <w:r w:rsidRPr="001B2A8A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A23B3C" w:rsidRPr="001B2A8A">
        <w:trPr>
          <w:trHeight w:val="269"/>
        </w:trPr>
        <w:tc>
          <w:tcPr>
            <w:tcW w:w="4386" w:type="dxa"/>
            <w:gridSpan w:val="3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B2A8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B2A8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4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>Educational Module</w:t>
            </w:r>
          </w:p>
        </w:tc>
      </w:tr>
      <w:tr w:rsidR="00A23B3C" w:rsidRPr="001B2A8A">
        <w:trPr>
          <w:trHeight w:val="273"/>
        </w:trPr>
        <w:tc>
          <w:tcPr>
            <w:tcW w:w="4386" w:type="dxa"/>
            <w:gridSpan w:val="3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 xml:space="preserve">Course </w:t>
            </w:r>
            <w:r w:rsidRPr="001B2A8A">
              <w:rPr>
                <w:rFonts w:ascii="Candara" w:hAnsi="Candara"/>
                <w:lang w:val="en-US"/>
              </w:rPr>
              <w:t>title</w:t>
            </w:r>
          </w:p>
        </w:tc>
        <w:tc>
          <w:tcPr>
            <w:tcW w:w="6054" w:type="dxa"/>
            <w:gridSpan w:val="4"/>
            <w:vAlign w:val="center"/>
          </w:tcPr>
          <w:p w:rsidR="00A23B3C" w:rsidRPr="001B2A8A" w:rsidRDefault="001B2A8A" w:rsidP="001B2A8A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Social Inequalities in Education</w:t>
            </w:r>
          </w:p>
        </w:tc>
      </w:tr>
      <w:tr w:rsidR="00A23B3C" w:rsidRPr="001B2A8A">
        <w:trPr>
          <w:trHeight w:val="281"/>
        </w:trPr>
        <w:tc>
          <w:tcPr>
            <w:tcW w:w="4386" w:type="dxa"/>
            <w:gridSpan w:val="3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4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71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9592719"/>
                  </w:sdtPr>
                  <w:sdtEndPr/>
                  <w:sdtContent>
                    <w:r w:rsidRPr="001B2A8A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720"/>
              </w:sdtPr>
              <w:sdtEndPr/>
              <w:sdtContent>
                <w:r w:rsidRPr="001B2A8A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9592721"/>
              </w:sdtPr>
              <w:sdtEndPr/>
              <w:sdtContent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A23B3C" w:rsidRPr="001B2A8A">
        <w:trPr>
          <w:trHeight w:val="273"/>
        </w:trPr>
        <w:tc>
          <w:tcPr>
            <w:tcW w:w="4386" w:type="dxa"/>
            <w:gridSpan w:val="3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4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722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9592723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9592724"/>
                      </w:sdtPr>
                      <w:sdtEndPr/>
                      <w:sdtContent>
                        <w:r w:rsidRPr="001B2A8A">
                          <w:rPr>
                            <w:rFonts w:ascii="MS Gothic" w:eastAsia="MS Gothic" w:hAnsi="MS Gothic" w:cs="Arial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Obligatory            </w:t>
            </w:r>
            <w:sdt>
              <w:sdtPr>
                <w:rPr>
                  <w:rFonts w:ascii="Candara" w:hAnsi="Candara"/>
                  <w:lang w:val="en-US"/>
                </w:rPr>
                <w:id w:val="9592725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9592726"/>
                  </w:sdtPr>
                  <w:sdtEndPr/>
                  <w:sdtContent>
                    <w:r w:rsidRPr="001B2A8A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A23B3C" w:rsidRPr="001B2A8A">
        <w:trPr>
          <w:trHeight w:val="289"/>
        </w:trPr>
        <w:tc>
          <w:tcPr>
            <w:tcW w:w="4386" w:type="dxa"/>
            <w:gridSpan w:val="3"/>
            <w:vAlign w:val="center"/>
          </w:tcPr>
          <w:p w:rsidR="00A23B3C" w:rsidRPr="001B2A8A" w:rsidRDefault="001B2A8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4"/>
            <w:vAlign w:val="center"/>
          </w:tcPr>
          <w:p w:rsidR="00A23B3C" w:rsidRPr="001B2A8A" w:rsidRDefault="001B2A8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9592727"/>
                <w:showingPlcHdr/>
              </w:sdtPr>
              <w:sdtEndPr/>
              <w:sdtContent/>
            </w:sdt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728"/>
              </w:sdtPr>
              <w:sdtEndPr>
                <w:rPr>
                  <w:rFonts w:cs="Arial"/>
                  <w:shd w:val="clear" w:color="auto" w:fill="auto"/>
                </w:rPr>
              </w:sdtEndPr>
              <w:sdtContent/>
            </w:sdt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729"/>
              </w:sdtPr>
              <w:sdtEndPr/>
              <w:sdtContent>
                <w:r w:rsidRPr="001B2A8A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 w:cs="Arial"/>
                <w:lang w:val="en-US"/>
              </w:rPr>
              <w:t xml:space="preserve"> Autumn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9592730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9592731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9592732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  <w:shd w:val="clear" w:color="auto" w:fill="8DB3E2" w:themeFill="text2" w:themeFillTint="66"/>
                              <w:lang w:val="en-US"/>
                            </w:rPr>
                            <w:id w:val="959273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9592734"/>
                              </w:sdtPr>
                              <w:sdtEndPr/>
                              <w:sdtContent>
                                <w:r w:rsidRPr="001B2A8A">
                                  <w:rPr>
                                    <w:rFonts w:ascii="MS Gothic" w:eastAsia="MS Gothic" w:hAnsi="MS Gothic" w:cs="Aria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1B2A8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23B3C" w:rsidRPr="001B2A8A">
        <w:trPr>
          <w:trHeight w:val="265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>1</w:t>
            </w:r>
            <w:r w:rsidRPr="001B2A8A">
              <w:rPr>
                <w:rFonts w:ascii="Candara" w:hAnsi="Candara"/>
                <w:vertAlign w:val="superscript"/>
                <w:lang w:val="en-US"/>
              </w:rPr>
              <w:t>st</w:t>
            </w:r>
          </w:p>
        </w:tc>
      </w:tr>
      <w:tr w:rsidR="00A23B3C" w:rsidRPr="001B2A8A">
        <w:trPr>
          <w:trHeight w:val="141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>6</w:t>
            </w:r>
          </w:p>
        </w:tc>
      </w:tr>
      <w:tr w:rsidR="00A23B3C" w:rsidRPr="001B2A8A">
        <w:trPr>
          <w:trHeight w:val="443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1B2A8A">
              <w:rPr>
                <w:rFonts w:ascii="Candara" w:hAnsi="Candara" w:cs="Arial"/>
                <w:lang w:val="en-US"/>
              </w:rPr>
              <w:t>Suzana</w:t>
            </w:r>
            <w:proofErr w:type="spellEnd"/>
            <w:r w:rsidRPr="001B2A8A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1B2A8A">
              <w:rPr>
                <w:rFonts w:ascii="Candara" w:hAnsi="Candara" w:cs="Arial"/>
                <w:lang w:val="en-US"/>
              </w:rPr>
              <w:t>Marković</w:t>
            </w:r>
            <w:proofErr w:type="spellEnd"/>
            <w:r w:rsidRPr="001B2A8A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1B2A8A">
              <w:rPr>
                <w:rFonts w:ascii="Candara" w:hAnsi="Candara" w:cs="Arial"/>
                <w:lang w:val="en-US"/>
              </w:rPr>
              <w:t>Krstić</w:t>
            </w:r>
            <w:proofErr w:type="spellEnd"/>
            <w:r w:rsidRPr="001B2A8A">
              <w:rPr>
                <w:rFonts w:ascii="Candara" w:hAnsi="Candara" w:cs="Arial"/>
                <w:lang w:val="en-US"/>
              </w:rPr>
              <w:t>, Associate professor, PhD</w:t>
            </w:r>
          </w:p>
        </w:tc>
      </w:tr>
      <w:tr w:rsidR="00A23B3C" w:rsidRPr="001B2A8A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735"/>
              </w:sdtPr>
              <w:sdtEndPr/>
              <w:sdtContent>
                <w:r w:rsidRPr="001B2A8A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736"/>
              </w:sdtPr>
              <w:sdtEndPr/>
              <w:sdtContent>
                <w:r w:rsidRPr="001B2A8A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737"/>
              </w:sdtPr>
              <w:sdtEndPr/>
              <w:sdtContent>
                <w:r w:rsidRPr="001B2A8A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738"/>
              </w:sdtPr>
              <w:sdtEndPr/>
              <w:sdtContent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9592739"/>
              </w:sdtPr>
              <w:sdtEndPr/>
              <w:sdtContent>
                <w:r w:rsidRPr="001B2A8A">
                  <w:rPr>
                    <w:rFonts w:ascii="Candara" w:hAnsi="Candara"/>
                    <w:lang w:val="en-US"/>
                  </w:rPr>
                  <w:t xml:space="preserve"> </w:t>
                </w:r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740"/>
              </w:sdtPr>
              <w:sdtEndPr/>
              <w:sdtContent>
                <w:r w:rsidRPr="001B2A8A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  Seminar</w:t>
            </w:r>
          </w:p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741"/>
              </w:sdtPr>
              <w:sdtEndPr/>
              <w:sdtContent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Distance learning </w:t>
            </w:r>
            <w:sdt>
              <w:sdtPr>
                <w:rPr>
                  <w:rFonts w:ascii="Candara" w:hAnsi="Candara"/>
                  <w:lang w:val="en-US"/>
                </w:rPr>
                <w:id w:val="9592742"/>
              </w:sdtPr>
              <w:sdtEndPr/>
              <w:sdtContent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 Blended learning     </w:t>
            </w:r>
            <w:sdt>
              <w:sdtPr>
                <w:rPr>
                  <w:rFonts w:ascii="Candara" w:hAnsi="Candara"/>
                  <w:lang w:val="en-US"/>
                </w:rPr>
                <w:id w:val="9592743"/>
              </w:sdtPr>
              <w:sdtEndPr/>
              <w:sdtContent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A23B3C" w:rsidRPr="001B2A8A">
        <w:trPr>
          <w:trHeight w:val="20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23B3C" w:rsidRPr="001B2A8A" w:rsidRDefault="001B2A8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A23B3C" w:rsidRPr="001B2A8A">
        <w:trPr>
          <w:trHeight w:val="274"/>
        </w:trPr>
        <w:tc>
          <w:tcPr>
            <w:tcW w:w="10440" w:type="dxa"/>
            <w:gridSpan w:val="7"/>
            <w:vAlign w:val="center"/>
          </w:tcPr>
          <w:p w:rsidR="00A23B3C" w:rsidRPr="001B2A8A" w:rsidRDefault="001B2A8A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 xml:space="preserve">The purpose of this course is to train students for the identification and understanding of the causes, forms and </w:t>
            </w:r>
            <w:r w:rsidRPr="001B2A8A">
              <w:rPr>
                <w:rFonts w:ascii="Candara" w:hAnsi="Candara"/>
                <w:lang w:val="en-US"/>
              </w:rPr>
              <w:t>consequences of social inequalities in education, and the impact of education on social mobility and social status. After completion of the course students will be able to: compare the theoretical and methodological approaches in the study of social inequa</w:t>
            </w:r>
            <w:r w:rsidRPr="001B2A8A">
              <w:rPr>
                <w:rFonts w:ascii="Candara" w:hAnsi="Candara"/>
                <w:lang w:val="en-US"/>
              </w:rPr>
              <w:t>lities in education; analyze and compare the results of empirical investigations into the mechanism of social selection, the forms and consequences of the social inequality in education; analyze, evaluate and propose concrete measures of social policy in t</w:t>
            </w:r>
            <w:r w:rsidRPr="001B2A8A">
              <w:rPr>
                <w:rFonts w:ascii="Candara" w:hAnsi="Candara"/>
                <w:lang w:val="en-US"/>
              </w:rPr>
              <w:t>he field of education; explain the social and ethical implications of applying their knowledge to solving problems in the field of education.</w:t>
            </w:r>
          </w:p>
        </w:tc>
      </w:tr>
      <w:tr w:rsidR="00A23B3C" w:rsidRPr="001B2A8A">
        <w:trPr>
          <w:trHeight w:val="29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23B3C" w:rsidRPr="001B2A8A">
        <w:trPr>
          <w:trHeight w:val="184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23B3C" w:rsidRPr="001B2A8A" w:rsidRDefault="001B2A8A" w:rsidP="001B2A8A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1B2A8A">
              <w:rPr>
                <w:rFonts w:ascii="Candara" w:hAnsi="Candara"/>
                <w:sz w:val="21"/>
                <w:szCs w:val="21"/>
                <w:lang w:val="en-US"/>
              </w:rPr>
              <w:t>Social Change and the development of education</w:t>
            </w:r>
            <w:r w:rsidRPr="001B2A8A">
              <w:rPr>
                <w:rFonts w:ascii="Candara" w:hAnsi="Candara"/>
                <w:sz w:val="21"/>
                <w:szCs w:val="21"/>
                <w:lang w:val="en-US"/>
              </w:rPr>
              <w:t>; changes in the social importance of education; Social inequality and education; Education and social reproduction; education and social mobility; Social inequalities in education; theoretical approaches and orientations in the study of social inequalitie</w:t>
            </w:r>
            <w:r w:rsidRPr="001B2A8A">
              <w:rPr>
                <w:rFonts w:ascii="Candara" w:hAnsi="Candara"/>
                <w:sz w:val="21"/>
                <w:szCs w:val="21"/>
                <w:lang w:val="en-US"/>
              </w:rPr>
              <w:t>s in education; The causes of social inequalities in education; social and cultural capital and education; Forms of social inequalities in education; Class subculture, speech patterns and success in education; The consequences of social inequalities in edu</w:t>
            </w:r>
            <w:r w:rsidRPr="001B2A8A">
              <w:rPr>
                <w:rFonts w:ascii="Candara" w:hAnsi="Candara"/>
                <w:sz w:val="21"/>
                <w:szCs w:val="21"/>
                <w:lang w:val="en-US"/>
              </w:rPr>
              <w:t>cation; Social context of the development of education and the main stages in the development of the educational system in Serbia; Changes in the population according to level of education in Serbia; Education for all and education for everyone; democratiz</w:t>
            </w:r>
            <w:r w:rsidRPr="001B2A8A">
              <w:rPr>
                <w:rFonts w:ascii="Candara" w:hAnsi="Candara"/>
                <w:sz w:val="21"/>
                <w:szCs w:val="21"/>
                <w:lang w:val="en-US"/>
              </w:rPr>
              <w:t>ation of education; education and upbringing for dialogue and tolerance.</w:t>
            </w:r>
          </w:p>
        </w:tc>
      </w:tr>
      <w:tr w:rsidR="00A23B3C" w:rsidRPr="001B2A8A">
        <w:trPr>
          <w:trHeight w:val="149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LANGUAGE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1B2A8A">
              <w:rPr>
                <w:rFonts w:ascii="Candara" w:hAnsi="Candara"/>
                <w:b/>
                <w:lang w:val="en-US"/>
              </w:rPr>
              <w:t>OF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1B2A8A">
              <w:rPr>
                <w:rFonts w:ascii="Candara" w:hAnsi="Candara"/>
                <w:b/>
                <w:lang w:val="en-US"/>
              </w:rPr>
              <w:t>INSTRUCTION</w:t>
            </w:r>
          </w:p>
        </w:tc>
      </w:tr>
      <w:tr w:rsidR="00A23B3C" w:rsidRPr="001B2A8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744"/>
              </w:sdtPr>
              <w:sdtEndPr/>
              <w:sdtContent>
                <w:r w:rsidRPr="001B2A8A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Pr="001B2A8A">
              <w:rPr>
                <w:rFonts w:ascii="Candara" w:hAnsi="Candara"/>
                <w:lang w:val="en-US"/>
              </w:rPr>
              <w:t>Serbian</w:t>
            </w:r>
            <w:r w:rsidRPr="001B2A8A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Pr="001B2A8A">
              <w:rPr>
                <w:rFonts w:ascii="Candara" w:hAnsi="Candara"/>
                <w:lang w:val="en-US"/>
              </w:rPr>
              <w:t>complete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1B2A8A">
              <w:rPr>
                <w:rFonts w:ascii="Candara" w:hAnsi="Candara"/>
                <w:lang w:val="en-US"/>
              </w:rPr>
              <w:t>course</w:t>
            </w:r>
            <w:r w:rsidRPr="001B2A8A">
              <w:rPr>
                <w:rFonts w:ascii="Candara" w:hAnsi="Candara"/>
                <w:lang w:val="en-US"/>
              </w:rPr>
              <w:t xml:space="preserve">)              </w:t>
            </w:r>
            <w:sdt>
              <w:sdtPr>
                <w:rPr>
                  <w:rFonts w:ascii="Candara" w:hAnsi="Candara"/>
                  <w:lang w:val="en-US"/>
                </w:rPr>
                <w:id w:val="9592745"/>
              </w:sdtPr>
              <w:sdtEndPr/>
              <w:sdtContent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>English</w:t>
            </w:r>
            <w:r w:rsidRPr="001B2A8A">
              <w:rPr>
                <w:rFonts w:ascii="Candara" w:hAnsi="Candara"/>
                <w:lang w:val="en-US"/>
              </w:rPr>
              <w:t xml:space="preserve"> (</w:t>
            </w:r>
            <w:r w:rsidRPr="001B2A8A">
              <w:rPr>
                <w:rFonts w:ascii="Candara" w:hAnsi="Candara"/>
                <w:lang w:val="en-US"/>
              </w:rPr>
              <w:t>complete</w:t>
            </w:r>
            <w:r>
              <w:rPr>
                <w:rFonts w:ascii="Candara" w:hAnsi="Candara"/>
                <w:lang w:val="en-US"/>
              </w:rPr>
              <w:t xml:space="preserve"> </w:t>
            </w:r>
            <w:bookmarkStart w:id="0" w:name="_GoBack"/>
            <w:bookmarkEnd w:id="0"/>
            <w:r w:rsidRPr="001B2A8A">
              <w:rPr>
                <w:rFonts w:ascii="Candara" w:hAnsi="Candara"/>
                <w:lang w:val="en-US"/>
              </w:rPr>
              <w:t>course</w:t>
            </w:r>
            <w:r w:rsidRPr="001B2A8A">
              <w:rPr>
                <w:rFonts w:ascii="Candara" w:hAnsi="Candara"/>
                <w:lang w:val="en-US"/>
              </w:rPr>
              <w:t xml:space="preserve">)               </w:t>
            </w:r>
            <w:sdt>
              <w:sdtPr>
                <w:rPr>
                  <w:rFonts w:ascii="Candara" w:hAnsi="Candara"/>
                  <w:lang w:val="en-US"/>
                </w:rPr>
                <w:id w:val="9592746"/>
              </w:sdtPr>
              <w:sdtEndPr/>
              <w:sdtContent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>Other</w:t>
            </w:r>
            <w:r w:rsidRPr="001B2A8A">
              <w:rPr>
                <w:rFonts w:ascii="Candara" w:hAnsi="Candara"/>
                <w:lang w:val="en-US"/>
              </w:rPr>
              <w:t xml:space="preserve"> ___</w:t>
            </w:r>
            <w:r w:rsidRPr="001B2A8A">
              <w:rPr>
                <w:rFonts w:ascii="Candara" w:hAnsi="Candara"/>
                <w:lang w:val="en-US"/>
              </w:rPr>
              <w:t>__________ (complete course)</w:t>
            </w:r>
          </w:p>
          <w:p w:rsidR="00A23B3C" w:rsidRPr="001B2A8A" w:rsidRDefault="00A23B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val="en-US"/>
              </w:rPr>
            </w:pPr>
          </w:p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747"/>
              </w:sdtPr>
              <w:sdtEndPr/>
              <w:sdtContent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9592748"/>
              </w:sdtPr>
              <w:sdtEndPr/>
              <w:sdtContent>
                <w:r w:rsidRPr="001B2A8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B2A8A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A23B3C" w:rsidRPr="001B2A8A" w:rsidRDefault="00A23B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14"/>
                <w:szCs w:val="14"/>
                <w:lang w:val="en-US"/>
              </w:rPr>
            </w:pPr>
          </w:p>
        </w:tc>
      </w:tr>
      <w:tr w:rsidR="00A23B3C" w:rsidRPr="001B2A8A">
        <w:trPr>
          <w:trHeight w:val="2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A23B3C" w:rsidRPr="001B2A8A">
        <w:trPr>
          <w:trHeight w:val="280"/>
        </w:trPr>
        <w:tc>
          <w:tcPr>
            <w:tcW w:w="3092" w:type="dxa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B2A8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B2A8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23B3C" w:rsidRPr="001B2A8A">
        <w:trPr>
          <w:trHeight w:val="270"/>
        </w:trPr>
        <w:tc>
          <w:tcPr>
            <w:tcW w:w="3092" w:type="dxa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4</w:t>
            </w:r>
            <w:r w:rsidRPr="001B2A8A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A23B3C" w:rsidRPr="001B2A8A">
        <w:trPr>
          <w:trHeight w:val="562"/>
        </w:trPr>
        <w:tc>
          <w:tcPr>
            <w:tcW w:w="3092" w:type="dxa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lastRenderedPageBreak/>
              <w:t xml:space="preserve">Practical teaching </w:t>
            </w:r>
          </w:p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B2A8A">
              <w:rPr>
                <w:rFonts w:ascii="Candara" w:hAnsi="Candara"/>
                <w:lang w:val="en-US"/>
              </w:rPr>
              <w:t>(seminar</w:t>
            </w:r>
            <w:r w:rsidRPr="001B2A8A">
              <w:rPr>
                <w:rFonts w:ascii="Candara" w:hAnsi="Candara"/>
                <w:lang w:val="en-US"/>
              </w:rPr>
              <w:t xml:space="preserve"> papers, presentations</w:t>
            </w:r>
            <w:r w:rsidRPr="001B2A8A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A23B3C" w:rsidRPr="001B2A8A">
        <w:trPr>
          <w:trHeight w:val="253"/>
        </w:trPr>
        <w:tc>
          <w:tcPr>
            <w:tcW w:w="3092" w:type="dxa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23B3C" w:rsidRPr="001B2A8A">
        <w:trPr>
          <w:trHeight w:val="28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23B3C" w:rsidRPr="001B2A8A" w:rsidRDefault="001B2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B2A8A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A23B3C" w:rsidRPr="001B2A8A" w:rsidRDefault="00A23B3C">
      <w:pPr>
        <w:rPr>
          <w:lang w:val="en-US"/>
        </w:rPr>
      </w:pPr>
    </w:p>
    <w:sectPr w:rsidR="00A23B3C" w:rsidRPr="001B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D35"/>
    <w:rsid w:val="000360A7"/>
    <w:rsid w:val="0006615E"/>
    <w:rsid w:val="001B06CC"/>
    <w:rsid w:val="001B2A8A"/>
    <w:rsid w:val="002045D4"/>
    <w:rsid w:val="003C69F0"/>
    <w:rsid w:val="003E70E8"/>
    <w:rsid w:val="004A6544"/>
    <w:rsid w:val="004C61C5"/>
    <w:rsid w:val="00503B41"/>
    <w:rsid w:val="005F38C6"/>
    <w:rsid w:val="00843EAF"/>
    <w:rsid w:val="008C7916"/>
    <w:rsid w:val="00965F7C"/>
    <w:rsid w:val="009661C0"/>
    <w:rsid w:val="009D1249"/>
    <w:rsid w:val="009F0693"/>
    <w:rsid w:val="00A134B2"/>
    <w:rsid w:val="00A23B3C"/>
    <w:rsid w:val="00B20F3D"/>
    <w:rsid w:val="00C53D35"/>
    <w:rsid w:val="00D01146"/>
    <w:rsid w:val="00FC5BA6"/>
    <w:rsid w:val="36B15B91"/>
    <w:rsid w:val="661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03B8"/>
  <w15:docId w15:val="{9E05D02C-C9D5-4693-A9A1-A0BF9E3A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ST</cp:lastModifiedBy>
  <cp:revision>6</cp:revision>
  <dcterms:created xsi:type="dcterms:W3CDTF">2017-04-01T20:23:00Z</dcterms:created>
  <dcterms:modified xsi:type="dcterms:W3CDTF">2018-06-07T09:29:00Z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